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82204" w14:textId="77777777" w:rsidR="008858E8" w:rsidRPr="00457139" w:rsidRDefault="008858E8" w:rsidP="008858E8">
      <w:pPr>
        <w:ind w:left="360"/>
        <w:rPr>
          <w:rFonts w:ascii="Times New Roman" w:hAnsi="Times New Roman" w:cs="Times New Roman"/>
          <w:b/>
          <w:bCs/>
          <w:sz w:val="32"/>
          <w:szCs w:val="32"/>
          <w:lang w:val="en-US"/>
        </w:rPr>
      </w:pPr>
      <w:r w:rsidRPr="00457139">
        <w:rPr>
          <w:rFonts w:ascii="Times New Roman" w:hAnsi="Times New Roman" w:cs="Times New Roman"/>
          <w:b/>
          <w:bCs/>
          <w:sz w:val="32"/>
          <w:szCs w:val="32"/>
          <w:lang w:val="en-US"/>
        </w:rPr>
        <w:t>16. Data Protection Impact Assessment (DPIA)</w:t>
      </w:r>
    </w:p>
    <w:p w14:paraId="3C2DCCEB" w14:textId="77777777" w:rsidR="008858E8" w:rsidRPr="00457139" w:rsidRDefault="008858E8" w:rsidP="008858E8">
      <w:pPr>
        <w:ind w:left="360"/>
        <w:rPr>
          <w:rFonts w:ascii="Times New Roman" w:hAnsi="Times New Roman" w:cs="Times New Roman"/>
          <w:b/>
          <w:bCs/>
          <w:lang w:val="en-US"/>
        </w:rPr>
      </w:pPr>
      <w:r w:rsidRPr="00457139">
        <w:rPr>
          <w:rFonts w:ascii="Times New Roman" w:hAnsi="Times New Roman" w:cs="Times New Roman"/>
          <w:b/>
          <w:bCs/>
          <w:lang w:val="en-US"/>
        </w:rPr>
        <w:t>16.1. DPIA Objective</w:t>
      </w:r>
    </w:p>
    <w:p w14:paraId="4298F2DE" w14:textId="77777777" w:rsidR="00106CA4" w:rsidRPr="00106CA4" w:rsidRDefault="00106CA4" w:rsidP="00106CA4">
      <w:pPr>
        <w:ind w:left="360"/>
        <w:rPr>
          <w:rFonts w:ascii="Times New Roman" w:hAnsi="Times New Roman" w:cs="Times New Roman"/>
          <w:lang w:val="en-US"/>
        </w:rPr>
      </w:pPr>
      <w:r w:rsidRPr="00106CA4">
        <w:rPr>
          <w:rFonts w:ascii="Times New Roman" w:hAnsi="Times New Roman" w:cs="Times New Roman"/>
          <w:lang w:val="en-US"/>
        </w:rPr>
        <w:t>The evaluation assesses privacy risks of handling personal and sensitive health data while establishing methods for HIPAA, GDPR and Australian Privacy Act compliance.</w:t>
      </w:r>
    </w:p>
    <w:p w14:paraId="20AD3339" w14:textId="6E3EFE94" w:rsidR="000D62B9" w:rsidRDefault="008858E8" w:rsidP="009B02EF">
      <w:pPr>
        <w:ind w:left="360"/>
        <w:rPr>
          <w:rFonts w:ascii="Times New Roman" w:hAnsi="Times New Roman" w:cs="Times New Roman"/>
          <w:b/>
          <w:bCs/>
          <w:lang w:val="en-US"/>
        </w:rPr>
      </w:pPr>
      <w:r w:rsidRPr="00457139">
        <w:rPr>
          <w:rFonts w:ascii="Times New Roman" w:hAnsi="Times New Roman" w:cs="Times New Roman"/>
          <w:b/>
          <w:bCs/>
          <w:lang w:val="en-US"/>
        </w:rPr>
        <w:t>16.2. DPIA Process Overview</w:t>
      </w:r>
    </w:p>
    <w:tbl>
      <w:tblPr>
        <w:tblStyle w:val="TableGrid"/>
        <w:tblW w:w="0" w:type="auto"/>
        <w:tblInd w:w="360" w:type="dxa"/>
        <w:tblLook w:val="04A0" w:firstRow="1" w:lastRow="0" w:firstColumn="1" w:lastColumn="0" w:noHBand="0" w:noVBand="1"/>
      </w:tblPr>
      <w:tblGrid>
        <w:gridCol w:w="2248"/>
        <w:gridCol w:w="3777"/>
        <w:gridCol w:w="1350"/>
        <w:gridCol w:w="1615"/>
      </w:tblGrid>
      <w:tr w:rsidR="000D62B9" w14:paraId="107D6D2F" w14:textId="77777777" w:rsidTr="000D62B9">
        <w:tc>
          <w:tcPr>
            <w:tcW w:w="2248" w:type="dxa"/>
          </w:tcPr>
          <w:p w14:paraId="55CE661C" w14:textId="5CD2AD0A" w:rsidR="000D62B9" w:rsidRDefault="000D62B9" w:rsidP="008858E8">
            <w:pPr>
              <w:rPr>
                <w:rFonts w:ascii="Times New Roman" w:hAnsi="Times New Roman" w:cs="Times New Roman"/>
                <w:b/>
                <w:bCs/>
                <w:lang w:val="en-US"/>
              </w:rPr>
            </w:pPr>
            <w:r w:rsidRPr="006C0AC0">
              <w:rPr>
                <w:rFonts w:ascii="Times New Roman" w:hAnsi="Times New Roman" w:cs="Times New Roman"/>
                <w:b/>
                <w:bCs/>
                <w:lang w:val="en-US"/>
              </w:rPr>
              <w:t>Step Name</w:t>
            </w:r>
          </w:p>
        </w:tc>
        <w:tc>
          <w:tcPr>
            <w:tcW w:w="3777" w:type="dxa"/>
          </w:tcPr>
          <w:p w14:paraId="6A3022B3" w14:textId="655A4DB9" w:rsidR="000D62B9" w:rsidRDefault="000D62B9" w:rsidP="008858E8">
            <w:pPr>
              <w:rPr>
                <w:rFonts w:ascii="Times New Roman" w:hAnsi="Times New Roman" w:cs="Times New Roman"/>
                <w:b/>
                <w:bCs/>
                <w:lang w:val="en-US"/>
              </w:rPr>
            </w:pPr>
            <w:r w:rsidRPr="006C0AC0">
              <w:rPr>
                <w:rFonts w:ascii="Times New Roman" w:hAnsi="Times New Roman" w:cs="Times New Roman"/>
                <w:b/>
                <w:bCs/>
                <w:lang w:val="en-US"/>
              </w:rPr>
              <w:t>Details</w:t>
            </w:r>
          </w:p>
        </w:tc>
        <w:tc>
          <w:tcPr>
            <w:tcW w:w="1350" w:type="dxa"/>
          </w:tcPr>
          <w:p w14:paraId="53B027C2" w14:textId="6D70D87B" w:rsidR="000D62B9" w:rsidRDefault="000D62B9" w:rsidP="008858E8">
            <w:pPr>
              <w:rPr>
                <w:rFonts w:ascii="Times New Roman" w:hAnsi="Times New Roman" w:cs="Times New Roman"/>
                <w:b/>
                <w:bCs/>
                <w:lang w:val="en-US"/>
              </w:rPr>
            </w:pPr>
            <w:r>
              <w:rPr>
                <w:rFonts w:ascii="Times New Roman" w:hAnsi="Times New Roman" w:cs="Times New Roman"/>
                <w:b/>
                <w:bCs/>
                <w:lang w:val="en-US"/>
              </w:rPr>
              <w:t>Risk Level</w:t>
            </w:r>
          </w:p>
        </w:tc>
        <w:tc>
          <w:tcPr>
            <w:tcW w:w="1615" w:type="dxa"/>
          </w:tcPr>
          <w:p w14:paraId="27F22B8C" w14:textId="6D8E3331" w:rsidR="000D62B9" w:rsidRDefault="000D62B9" w:rsidP="008858E8">
            <w:pPr>
              <w:rPr>
                <w:rFonts w:ascii="Times New Roman" w:hAnsi="Times New Roman" w:cs="Times New Roman"/>
                <w:b/>
                <w:bCs/>
                <w:lang w:val="en-US"/>
              </w:rPr>
            </w:pPr>
            <w:r>
              <w:rPr>
                <w:rFonts w:ascii="Times New Roman" w:hAnsi="Times New Roman" w:cs="Times New Roman"/>
                <w:b/>
                <w:bCs/>
                <w:lang w:val="en-US"/>
              </w:rPr>
              <w:t>Mitigation Priority</w:t>
            </w:r>
          </w:p>
        </w:tc>
      </w:tr>
      <w:tr w:rsidR="000D62B9" w14:paraId="3E60C8DC" w14:textId="77777777" w:rsidTr="000D62B9">
        <w:tc>
          <w:tcPr>
            <w:tcW w:w="2248" w:type="dxa"/>
          </w:tcPr>
          <w:p w14:paraId="36D256F4" w14:textId="0E162528" w:rsidR="000D62B9" w:rsidRDefault="000D62B9" w:rsidP="008858E8">
            <w:pPr>
              <w:rPr>
                <w:rFonts w:ascii="Times New Roman" w:hAnsi="Times New Roman" w:cs="Times New Roman"/>
                <w:b/>
                <w:bCs/>
                <w:lang w:val="en-US"/>
              </w:rPr>
            </w:pPr>
            <w:r w:rsidRPr="006C0AC0">
              <w:rPr>
                <w:rFonts w:ascii="Times New Roman" w:hAnsi="Times New Roman" w:cs="Times New Roman"/>
                <w:lang w:val="en-US"/>
              </w:rPr>
              <w:t>Data Processing Overview</w:t>
            </w:r>
          </w:p>
        </w:tc>
        <w:tc>
          <w:tcPr>
            <w:tcW w:w="3777" w:type="dxa"/>
          </w:tcPr>
          <w:p w14:paraId="3E5E8EEE" w14:textId="60D442F0" w:rsidR="000D62B9" w:rsidRDefault="00106CA4" w:rsidP="008858E8">
            <w:pPr>
              <w:rPr>
                <w:rFonts w:ascii="Times New Roman" w:hAnsi="Times New Roman" w:cs="Times New Roman"/>
                <w:b/>
                <w:bCs/>
                <w:lang w:val="en-US"/>
              </w:rPr>
            </w:pPr>
            <w:r w:rsidRPr="00106CA4">
              <w:rPr>
                <w:rFonts w:ascii="Times New Roman" w:hAnsi="Times New Roman" w:cs="Times New Roman"/>
                <w:lang w:val="en-US"/>
              </w:rPr>
              <w:t>The system processes patient information consisting of MRI scans (DICOM format) and personal demographics together with medical histories and referral forms and diagnostic reports and billing records. The system enables secure web-based portal operations for all processing functions and information distribution.</w:t>
            </w:r>
          </w:p>
        </w:tc>
        <w:tc>
          <w:tcPr>
            <w:tcW w:w="1350" w:type="dxa"/>
          </w:tcPr>
          <w:p w14:paraId="4C9E1475" w14:textId="40A2A880" w:rsidR="000D62B9" w:rsidRPr="000D62B9" w:rsidRDefault="000D62B9" w:rsidP="008858E8">
            <w:pPr>
              <w:rPr>
                <w:rFonts w:ascii="Times New Roman" w:hAnsi="Times New Roman" w:cs="Times New Roman"/>
                <w:lang w:val="en-US"/>
              </w:rPr>
            </w:pPr>
            <w:r>
              <w:rPr>
                <w:rFonts w:ascii="Times New Roman" w:hAnsi="Times New Roman" w:cs="Times New Roman"/>
                <w:lang w:val="en-US"/>
              </w:rPr>
              <w:t>High</w:t>
            </w:r>
          </w:p>
        </w:tc>
        <w:tc>
          <w:tcPr>
            <w:tcW w:w="1615" w:type="dxa"/>
          </w:tcPr>
          <w:p w14:paraId="678397BB" w14:textId="11D05C41"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High</w:t>
            </w:r>
          </w:p>
        </w:tc>
      </w:tr>
      <w:tr w:rsidR="000D62B9" w14:paraId="09BF68B9" w14:textId="77777777" w:rsidTr="000D62B9">
        <w:tc>
          <w:tcPr>
            <w:tcW w:w="2248" w:type="dxa"/>
          </w:tcPr>
          <w:p w14:paraId="2206774A" w14:textId="3328B24A" w:rsidR="000D62B9" w:rsidRDefault="000D62B9" w:rsidP="008858E8">
            <w:pPr>
              <w:rPr>
                <w:rFonts w:ascii="Times New Roman" w:hAnsi="Times New Roman" w:cs="Times New Roman"/>
                <w:b/>
                <w:bCs/>
                <w:lang w:val="en-US"/>
              </w:rPr>
            </w:pPr>
            <w:r w:rsidRPr="006C0AC0">
              <w:rPr>
                <w:rFonts w:ascii="Times New Roman" w:hAnsi="Times New Roman" w:cs="Times New Roman"/>
                <w:lang w:val="en-US"/>
              </w:rPr>
              <w:t>Purpose of Processing</w:t>
            </w:r>
          </w:p>
        </w:tc>
        <w:tc>
          <w:tcPr>
            <w:tcW w:w="3777" w:type="dxa"/>
          </w:tcPr>
          <w:p w14:paraId="6D1B23C7" w14:textId="752E9A10" w:rsidR="000D62B9" w:rsidRDefault="00106CA4" w:rsidP="008858E8">
            <w:pPr>
              <w:rPr>
                <w:rFonts w:ascii="Times New Roman" w:hAnsi="Times New Roman" w:cs="Times New Roman"/>
                <w:b/>
                <w:bCs/>
                <w:lang w:val="en-US"/>
              </w:rPr>
            </w:pPr>
            <w:r>
              <w:t>The system provides MRI diagnostic services and prepares medical reports efficiently while enabling remote consultations through a protected payment and billing management system</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1"/>
            </w:tblGrid>
            <w:tr w:rsidR="000D62B9" w:rsidRPr="006C0AC0" w14:paraId="1CBE7439" w14:textId="77777777" w:rsidTr="00F33BE6">
              <w:trPr>
                <w:tblCellSpacing w:w="15" w:type="dxa"/>
              </w:trPr>
              <w:tc>
                <w:tcPr>
                  <w:tcW w:w="0" w:type="auto"/>
                  <w:vAlign w:val="center"/>
                  <w:hideMark/>
                </w:tcPr>
                <w:p w14:paraId="66B385EF" w14:textId="77777777" w:rsidR="000D62B9" w:rsidRPr="006C0AC0" w:rsidRDefault="000D62B9" w:rsidP="000D62B9">
                  <w:pPr>
                    <w:ind w:left="360"/>
                    <w:rPr>
                      <w:rFonts w:ascii="Times New Roman" w:hAnsi="Times New Roman" w:cs="Times New Roman"/>
                      <w:lang w:val="en-US"/>
                    </w:rPr>
                  </w:pPr>
                  <w:r w:rsidRPr="006C0AC0">
                    <w:rPr>
                      <w:rFonts w:ascii="Times New Roman" w:hAnsi="Times New Roman" w:cs="Times New Roman"/>
                      <w:lang w:val="en-US"/>
                    </w:rPr>
                    <w:t>Low</w:t>
                  </w:r>
                </w:p>
              </w:tc>
              <w:tc>
                <w:tcPr>
                  <w:tcW w:w="0" w:type="auto"/>
                  <w:vAlign w:val="center"/>
                  <w:hideMark/>
                </w:tcPr>
                <w:p w14:paraId="1025FF43" w14:textId="000F54E7" w:rsidR="000D62B9" w:rsidRPr="006C0AC0" w:rsidRDefault="000D62B9" w:rsidP="000D62B9">
                  <w:pPr>
                    <w:ind w:left="360"/>
                    <w:rPr>
                      <w:rFonts w:ascii="Times New Roman" w:hAnsi="Times New Roman" w:cs="Times New Roman"/>
                      <w:lang w:val="en-US"/>
                    </w:rPr>
                  </w:pPr>
                </w:p>
              </w:tc>
            </w:tr>
          </w:tbl>
          <w:p w14:paraId="45387796" w14:textId="77777777" w:rsidR="000D62B9" w:rsidRDefault="000D62B9" w:rsidP="008858E8">
            <w:pPr>
              <w:rPr>
                <w:rFonts w:ascii="Times New Roman" w:hAnsi="Times New Roman" w:cs="Times New Roman"/>
                <w:b/>
                <w:bCs/>
                <w:lang w:val="en-US"/>
              </w:rPr>
            </w:pPr>
          </w:p>
        </w:tc>
        <w:tc>
          <w:tcPr>
            <w:tcW w:w="1615" w:type="dxa"/>
          </w:tcPr>
          <w:p w14:paraId="22509DB8" w14:textId="6738C342" w:rsidR="000D62B9" w:rsidRDefault="000D62B9" w:rsidP="008858E8">
            <w:pPr>
              <w:rPr>
                <w:rFonts w:ascii="Times New Roman" w:hAnsi="Times New Roman" w:cs="Times New Roman"/>
                <w:b/>
                <w:bCs/>
                <w:lang w:val="en-US"/>
              </w:rPr>
            </w:pPr>
            <w:r w:rsidRPr="006C0AC0">
              <w:rPr>
                <w:rFonts w:ascii="Times New Roman" w:hAnsi="Times New Roman" w:cs="Times New Roman"/>
                <w:lang w:val="en-US"/>
              </w:rPr>
              <w:t>Medium</w:t>
            </w:r>
          </w:p>
        </w:tc>
      </w:tr>
      <w:tr w:rsidR="000D62B9" w14:paraId="7CDF3533" w14:textId="77777777" w:rsidTr="000D62B9">
        <w:tc>
          <w:tcPr>
            <w:tcW w:w="2248" w:type="dxa"/>
          </w:tcPr>
          <w:p w14:paraId="0F21429F" w14:textId="23F666E4" w:rsidR="000D62B9" w:rsidRDefault="000D62B9" w:rsidP="008858E8">
            <w:pPr>
              <w:rPr>
                <w:rFonts w:ascii="Times New Roman" w:hAnsi="Times New Roman" w:cs="Times New Roman"/>
                <w:b/>
                <w:bCs/>
                <w:lang w:val="en-US"/>
              </w:rPr>
            </w:pPr>
            <w:r w:rsidRPr="006C0AC0">
              <w:rPr>
                <w:rFonts w:ascii="Times New Roman" w:hAnsi="Times New Roman" w:cs="Times New Roman"/>
                <w:lang w:val="en-US"/>
              </w:rPr>
              <w:t>Data Characteristics</w:t>
            </w:r>
          </w:p>
        </w:tc>
        <w:tc>
          <w:tcPr>
            <w:tcW w:w="3777" w:type="dxa"/>
          </w:tcPr>
          <w:p w14:paraId="0A059732" w14:textId="490C3467" w:rsidR="000D62B9" w:rsidRDefault="00106CA4" w:rsidP="008858E8">
            <w:pPr>
              <w:rPr>
                <w:rFonts w:ascii="Times New Roman" w:hAnsi="Times New Roman" w:cs="Times New Roman"/>
                <w:b/>
                <w:bCs/>
                <w:lang w:val="en-US"/>
              </w:rPr>
            </w:pPr>
            <w:r>
              <w:t>The platform handles extremely sensitive health records that contain personally identifiable information (PII) and MRI image data as well as clinical notes and financial details.</w:t>
            </w:r>
          </w:p>
        </w:tc>
        <w:tc>
          <w:tcPr>
            <w:tcW w:w="1350" w:type="dxa"/>
          </w:tcPr>
          <w:p w14:paraId="13860CF1" w14:textId="6E3DA5E3"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High</w:t>
            </w:r>
          </w:p>
        </w:tc>
        <w:tc>
          <w:tcPr>
            <w:tcW w:w="1615" w:type="dxa"/>
          </w:tcPr>
          <w:p w14:paraId="18AB40BC" w14:textId="56C3CA9B" w:rsidR="000D62B9" w:rsidRPr="000D62B9" w:rsidRDefault="000D62B9" w:rsidP="008858E8">
            <w:pPr>
              <w:rPr>
                <w:rFonts w:ascii="Times New Roman" w:hAnsi="Times New Roman" w:cs="Times New Roman"/>
                <w:lang w:val="en-US"/>
              </w:rPr>
            </w:pPr>
            <w:r>
              <w:rPr>
                <w:rFonts w:ascii="Times New Roman" w:hAnsi="Times New Roman" w:cs="Times New Roman"/>
                <w:lang w:val="en-US"/>
              </w:rPr>
              <w:t>High</w:t>
            </w:r>
          </w:p>
        </w:tc>
      </w:tr>
      <w:tr w:rsidR="000D62B9" w14:paraId="1414868E" w14:textId="77777777" w:rsidTr="000D62B9">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1"/>
            </w:tblGrid>
            <w:tr w:rsidR="000D62B9" w:rsidRPr="006C0AC0" w14:paraId="5D4D32B2" w14:textId="77777777" w:rsidTr="00F33BE6">
              <w:trPr>
                <w:tblCellSpacing w:w="15" w:type="dxa"/>
              </w:trPr>
              <w:tc>
                <w:tcPr>
                  <w:tcW w:w="0" w:type="auto"/>
                  <w:vAlign w:val="center"/>
                  <w:hideMark/>
                </w:tcPr>
                <w:p w14:paraId="036FE6FB" w14:textId="77777777" w:rsidR="000D62B9" w:rsidRPr="006C0AC0" w:rsidRDefault="000D62B9" w:rsidP="000D62B9">
                  <w:pPr>
                    <w:ind w:left="360"/>
                    <w:rPr>
                      <w:rFonts w:ascii="Times New Roman" w:hAnsi="Times New Roman" w:cs="Times New Roman"/>
                      <w:lang w:val="en-US"/>
                    </w:rPr>
                  </w:pPr>
                  <w:r w:rsidRPr="006C0AC0">
                    <w:rPr>
                      <w:rFonts w:ascii="Times New Roman" w:hAnsi="Times New Roman" w:cs="Times New Roman"/>
                      <w:lang w:val="en-US"/>
                    </w:rPr>
                    <w:t>Stakeholders</w:t>
                  </w:r>
                </w:p>
              </w:tc>
              <w:tc>
                <w:tcPr>
                  <w:tcW w:w="0" w:type="auto"/>
                  <w:vAlign w:val="center"/>
                  <w:hideMark/>
                </w:tcPr>
                <w:p w14:paraId="76FCDA3C" w14:textId="4C98D7ED" w:rsidR="000D62B9" w:rsidRPr="006C0AC0" w:rsidRDefault="000D62B9" w:rsidP="000D62B9">
                  <w:pPr>
                    <w:ind w:left="360"/>
                    <w:rPr>
                      <w:rFonts w:ascii="Times New Roman" w:hAnsi="Times New Roman" w:cs="Times New Roman"/>
                      <w:lang w:val="en-US"/>
                    </w:rPr>
                  </w:pPr>
                </w:p>
              </w:tc>
            </w:tr>
          </w:tbl>
          <w:p w14:paraId="1A08DB9E" w14:textId="77777777" w:rsidR="000D62B9" w:rsidRDefault="000D62B9" w:rsidP="008858E8">
            <w:pPr>
              <w:rPr>
                <w:rFonts w:ascii="Times New Roman" w:hAnsi="Times New Roman" w:cs="Times New Roman"/>
                <w:b/>
                <w:bCs/>
                <w:lang w:val="en-US"/>
              </w:rPr>
            </w:pPr>
          </w:p>
        </w:tc>
        <w:tc>
          <w:tcPr>
            <w:tcW w:w="3777" w:type="dxa"/>
          </w:tcPr>
          <w:p w14:paraId="60DDFA10" w14:textId="1B598EEE" w:rsidR="000D62B9" w:rsidRDefault="00106CA4" w:rsidP="008858E8">
            <w:pPr>
              <w:rPr>
                <w:rFonts w:ascii="Times New Roman" w:hAnsi="Times New Roman" w:cs="Times New Roman"/>
                <w:b/>
                <w:bCs/>
                <w:lang w:val="en-US"/>
              </w:rPr>
            </w:pPr>
            <w:r>
              <w:t>The system includes patients together with radiologists and MRI technicians and administrative staff and referring physicians and payment processors and regulatory authorities.</w:t>
            </w:r>
          </w:p>
        </w:tc>
        <w:tc>
          <w:tcPr>
            <w:tcW w:w="1350" w:type="dxa"/>
          </w:tcPr>
          <w:p w14:paraId="3ECF2475" w14:textId="1DC0B547"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Medium</w:t>
            </w:r>
          </w:p>
        </w:tc>
        <w:tc>
          <w:tcPr>
            <w:tcW w:w="1615" w:type="dxa"/>
          </w:tcPr>
          <w:p w14:paraId="2BB684E1" w14:textId="369838AE"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Medium</w:t>
            </w:r>
          </w:p>
        </w:tc>
      </w:tr>
      <w:tr w:rsidR="000D62B9" w14:paraId="6ECA88BC" w14:textId="77777777" w:rsidTr="000D62B9">
        <w:tc>
          <w:tcPr>
            <w:tcW w:w="2248" w:type="dxa"/>
          </w:tcPr>
          <w:p w14:paraId="727AAEC1" w14:textId="088D2854" w:rsidR="000D62B9" w:rsidRDefault="000D62B9" w:rsidP="008858E8">
            <w:pPr>
              <w:rPr>
                <w:rFonts w:ascii="Times New Roman" w:hAnsi="Times New Roman" w:cs="Times New Roman"/>
                <w:b/>
                <w:bCs/>
                <w:lang w:val="en-US"/>
              </w:rPr>
            </w:pPr>
            <w:r w:rsidRPr="006C0AC0">
              <w:rPr>
                <w:rFonts w:ascii="Times New Roman" w:hAnsi="Times New Roman" w:cs="Times New Roman"/>
                <w:lang w:val="en-US"/>
              </w:rPr>
              <w:t>Data Flow Analysis</w:t>
            </w:r>
          </w:p>
        </w:tc>
        <w:tc>
          <w:tcPr>
            <w:tcW w:w="3777" w:type="dxa"/>
          </w:tcPr>
          <w:p w14:paraId="678F12A7" w14:textId="723CA5CB" w:rsidR="000D62B9" w:rsidRPr="000D62B9" w:rsidRDefault="00106CA4" w:rsidP="008858E8">
            <w:pPr>
              <w:rPr>
                <w:rFonts w:ascii="Times New Roman" w:hAnsi="Times New Roman" w:cs="Times New Roman"/>
                <w:lang w:val="en-US"/>
              </w:rPr>
            </w:pPr>
            <w:r w:rsidRPr="00106CA4">
              <w:rPr>
                <w:rFonts w:ascii="Times New Roman" w:hAnsi="Times New Roman" w:cs="Times New Roman"/>
              </w:rPr>
              <w:t>Users input patient information into the portal that leads to secure database and PACS storage before authorized personnel can access it to generate reports or billing records.</w:t>
            </w:r>
          </w:p>
        </w:tc>
        <w:tc>
          <w:tcPr>
            <w:tcW w:w="1350" w:type="dxa"/>
          </w:tcPr>
          <w:p w14:paraId="76CB8A46" w14:textId="4A95366C"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High</w:t>
            </w:r>
          </w:p>
        </w:tc>
        <w:tc>
          <w:tcPr>
            <w:tcW w:w="1615" w:type="dxa"/>
          </w:tcPr>
          <w:p w14:paraId="79849810" w14:textId="6753B4EC" w:rsidR="000D62B9" w:rsidRPr="000D62B9" w:rsidRDefault="000D62B9" w:rsidP="008858E8">
            <w:pPr>
              <w:rPr>
                <w:rFonts w:ascii="Times New Roman" w:hAnsi="Times New Roman" w:cs="Times New Roman"/>
                <w:lang w:val="en-US"/>
              </w:rPr>
            </w:pPr>
            <w:r w:rsidRPr="000D62B9">
              <w:rPr>
                <w:rFonts w:ascii="Times New Roman" w:hAnsi="Times New Roman" w:cs="Times New Roman"/>
                <w:lang w:val="en-US"/>
              </w:rPr>
              <w:t>High</w:t>
            </w:r>
          </w:p>
        </w:tc>
      </w:tr>
      <w:tr w:rsidR="000D62B9" w14:paraId="63E67E46" w14:textId="77777777" w:rsidTr="000D62B9">
        <w:tc>
          <w:tcPr>
            <w:tcW w:w="2248" w:type="dxa"/>
          </w:tcPr>
          <w:p w14:paraId="5462D12F" w14:textId="121BD363" w:rsidR="000D62B9" w:rsidRPr="006C0AC0" w:rsidRDefault="000D62B9" w:rsidP="008858E8">
            <w:pPr>
              <w:rPr>
                <w:rFonts w:ascii="Times New Roman" w:hAnsi="Times New Roman" w:cs="Times New Roman"/>
                <w:lang w:val="en-US"/>
              </w:rPr>
            </w:pPr>
            <w:r w:rsidRPr="006C0AC0">
              <w:rPr>
                <w:rFonts w:ascii="Times New Roman" w:hAnsi="Times New Roman" w:cs="Times New Roman"/>
                <w:lang w:val="en-US"/>
              </w:rPr>
              <w:t>Risk Identification</w:t>
            </w:r>
          </w:p>
        </w:tc>
        <w:tc>
          <w:tcPr>
            <w:tcW w:w="3777" w:type="dxa"/>
          </w:tcPr>
          <w:p w14:paraId="6DFFCF5D" w14:textId="1754D9F7" w:rsidR="000D62B9" w:rsidRPr="006C0AC0" w:rsidRDefault="00106CA4" w:rsidP="008858E8">
            <w:pPr>
              <w:rPr>
                <w:rFonts w:ascii="Times New Roman" w:hAnsi="Times New Roman" w:cs="Times New Roman"/>
                <w:lang w:val="en-US"/>
              </w:rPr>
            </w:pPr>
            <w:r w:rsidRPr="00106CA4">
              <w:rPr>
                <w:rFonts w:ascii="Times New Roman" w:hAnsi="Times New Roman" w:cs="Times New Roman"/>
                <w:lang w:val="en-US"/>
              </w:rPr>
              <w:t xml:space="preserve">Potential threats include unauthorized access, information leaks, weak encryption, insufficient </w:t>
            </w:r>
            <w:r w:rsidRPr="00106CA4">
              <w:rPr>
                <w:rFonts w:ascii="Times New Roman" w:hAnsi="Times New Roman" w:cs="Times New Roman"/>
                <w:lang w:val="en-US"/>
              </w:rPr>
              <w:lastRenderedPageBreak/>
              <w:t>anonymization, phishing attempts, and breaches of privacy legislation.</w:t>
            </w:r>
          </w:p>
        </w:tc>
        <w:tc>
          <w:tcPr>
            <w:tcW w:w="1350" w:type="dxa"/>
          </w:tcPr>
          <w:p w14:paraId="09C31415" w14:textId="43AC4D43" w:rsidR="000D62B9" w:rsidRPr="000D62B9" w:rsidRDefault="000D62B9" w:rsidP="008858E8">
            <w:pPr>
              <w:rPr>
                <w:rFonts w:ascii="Times New Roman" w:hAnsi="Times New Roman" w:cs="Times New Roman"/>
                <w:lang w:val="en-US"/>
              </w:rPr>
            </w:pPr>
            <w:r>
              <w:rPr>
                <w:rFonts w:ascii="Times New Roman" w:hAnsi="Times New Roman" w:cs="Times New Roman"/>
                <w:lang w:val="en-US"/>
              </w:rPr>
              <w:lastRenderedPageBreak/>
              <w:t>High</w:t>
            </w:r>
          </w:p>
        </w:tc>
        <w:tc>
          <w:tcPr>
            <w:tcW w:w="1615" w:type="dxa"/>
          </w:tcPr>
          <w:p w14:paraId="1BE60F52" w14:textId="3240AD56" w:rsidR="000D62B9" w:rsidRPr="000D62B9" w:rsidRDefault="000D62B9" w:rsidP="008858E8">
            <w:pPr>
              <w:rPr>
                <w:rFonts w:ascii="Times New Roman" w:hAnsi="Times New Roman" w:cs="Times New Roman"/>
                <w:lang w:val="en-US"/>
              </w:rPr>
            </w:pPr>
            <w:r>
              <w:rPr>
                <w:rFonts w:ascii="Times New Roman" w:hAnsi="Times New Roman" w:cs="Times New Roman"/>
                <w:lang w:val="en-US"/>
              </w:rPr>
              <w:t>High</w:t>
            </w:r>
          </w:p>
        </w:tc>
      </w:tr>
      <w:tr w:rsidR="000D62B9" w14:paraId="090EB39E" w14:textId="77777777" w:rsidTr="000D62B9">
        <w:tc>
          <w:tcPr>
            <w:tcW w:w="2248" w:type="dxa"/>
          </w:tcPr>
          <w:p w14:paraId="1C873A32" w14:textId="718806A2" w:rsidR="000D62B9" w:rsidRPr="006C0AC0" w:rsidRDefault="000D62B9" w:rsidP="008858E8">
            <w:pPr>
              <w:rPr>
                <w:rFonts w:ascii="Times New Roman" w:hAnsi="Times New Roman" w:cs="Times New Roman"/>
                <w:lang w:val="en-US"/>
              </w:rPr>
            </w:pPr>
            <w:r w:rsidRPr="006C0AC0">
              <w:rPr>
                <w:rFonts w:ascii="Times New Roman" w:hAnsi="Times New Roman" w:cs="Times New Roman"/>
                <w:lang w:val="en-US"/>
              </w:rPr>
              <w:t>Risk Mitigation Measures</w:t>
            </w:r>
          </w:p>
        </w:tc>
        <w:tc>
          <w:tcPr>
            <w:tcW w:w="3777" w:type="dxa"/>
          </w:tcPr>
          <w:p w14:paraId="2DCB61EC" w14:textId="77777777" w:rsidR="00106CA4" w:rsidRDefault="00106CA4" w:rsidP="00106CA4">
            <w:r>
              <w:t>- The system uses AES-256 encryption for stored data and TLS 1.3 encryption for data transfers.</w:t>
            </w:r>
          </w:p>
          <w:p w14:paraId="6E78643D" w14:textId="77777777" w:rsidR="00106CA4" w:rsidRDefault="00106CA4" w:rsidP="00106CA4">
            <w:r>
              <w:t>- Role-Based Access Control (RBAC) combined with Multi-Factor Authentication (MFA) must be implemented.</w:t>
            </w:r>
          </w:p>
          <w:p w14:paraId="1BAA5945" w14:textId="77777777" w:rsidR="00106CA4" w:rsidRDefault="00106CA4" w:rsidP="00106CA4">
            <w:r>
              <w:t>- A secure system must store encrypted audit logs of all activities performed within it.</w:t>
            </w:r>
          </w:p>
          <w:p w14:paraId="0AD03FD2" w14:textId="712F6F20" w:rsidR="000D62B9" w:rsidRPr="006C0AC0" w:rsidRDefault="00106CA4" w:rsidP="00106CA4">
            <w:pPr>
              <w:rPr>
                <w:rFonts w:ascii="Times New Roman" w:hAnsi="Times New Roman" w:cs="Times New Roman"/>
                <w:lang w:val="en-US"/>
              </w:rPr>
            </w:pPr>
            <w:r>
              <w:t>- The system must perform regular penetration tests along with security audits.</w:t>
            </w:r>
          </w:p>
        </w:tc>
        <w:tc>
          <w:tcPr>
            <w:tcW w:w="1350" w:type="dxa"/>
          </w:tcPr>
          <w:p w14:paraId="722D22D8" w14:textId="5886F3FF" w:rsidR="000D62B9" w:rsidRPr="000D62B9" w:rsidRDefault="00772BE4" w:rsidP="008858E8">
            <w:pPr>
              <w:rPr>
                <w:rFonts w:ascii="Times New Roman" w:hAnsi="Times New Roman" w:cs="Times New Roman"/>
                <w:lang w:val="en-US"/>
              </w:rPr>
            </w:pPr>
            <w:r>
              <w:rPr>
                <w:rFonts w:ascii="Times New Roman" w:hAnsi="Times New Roman" w:cs="Times New Roman"/>
                <w:lang w:val="en-US"/>
              </w:rPr>
              <w:t>High</w:t>
            </w:r>
          </w:p>
        </w:tc>
        <w:tc>
          <w:tcPr>
            <w:tcW w:w="1615" w:type="dxa"/>
          </w:tcPr>
          <w:p w14:paraId="489EA437" w14:textId="316D12E2" w:rsidR="000D62B9" w:rsidRPr="000D62B9" w:rsidRDefault="00772BE4" w:rsidP="008858E8">
            <w:pPr>
              <w:rPr>
                <w:rFonts w:ascii="Times New Roman" w:hAnsi="Times New Roman" w:cs="Times New Roman"/>
                <w:lang w:val="en-US"/>
              </w:rPr>
            </w:pPr>
            <w:r>
              <w:rPr>
                <w:rFonts w:ascii="Times New Roman" w:hAnsi="Times New Roman" w:cs="Times New Roman"/>
                <w:lang w:val="en-US"/>
              </w:rPr>
              <w:t>High</w:t>
            </w:r>
          </w:p>
        </w:tc>
      </w:tr>
      <w:tr w:rsidR="000D62B9" w14:paraId="0A666CB1" w14:textId="77777777" w:rsidTr="000D62B9">
        <w:tc>
          <w:tcPr>
            <w:tcW w:w="2248" w:type="dxa"/>
          </w:tcPr>
          <w:p w14:paraId="140D5B84" w14:textId="75D2B93C" w:rsidR="000D62B9" w:rsidRPr="006C0AC0" w:rsidRDefault="00772BE4" w:rsidP="008858E8">
            <w:pPr>
              <w:rPr>
                <w:rFonts w:ascii="Times New Roman" w:hAnsi="Times New Roman" w:cs="Times New Roman"/>
                <w:lang w:val="en-US"/>
              </w:rPr>
            </w:pPr>
            <w:r w:rsidRPr="006C0AC0">
              <w:rPr>
                <w:rFonts w:ascii="Times New Roman" w:hAnsi="Times New Roman" w:cs="Times New Roman"/>
                <w:lang w:val="en-US"/>
              </w:rPr>
              <w:t>Data Minimisation</w:t>
            </w:r>
          </w:p>
        </w:tc>
        <w:tc>
          <w:tcPr>
            <w:tcW w:w="3777" w:type="dxa"/>
          </w:tcPr>
          <w:p w14:paraId="5F7C8362" w14:textId="2A374FA9" w:rsidR="000D62B9" w:rsidRPr="006C0AC0" w:rsidRDefault="00106CA4" w:rsidP="008858E8">
            <w:pPr>
              <w:rPr>
                <w:rFonts w:ascii="Times New Roman" w:hAnsi="Times New Roman" w:cs="Times New Roman"/>
                <w:lang w:val="en-US"/>
              </w:rPr>
            </w:pPr>
            <w:r w:rsidRPr="00106CA4">
              <w:rPr>
                <w:rFonts w:ascii="Times New Roman" w:hAnsi="Times New Roman" w:cs="Times New Roman"/>
                <w:lang w:val="en-US"/>
              </w:rPr>
              <w:t>Only necessary medical and operational information should be collected for data protection purposes while keeping personal and marketing-related details out of the system.</w:t>
            </w:r>
          </w:p>
        </w:tc>
        <w:tc>
          <w:tcPr>
            <w:tcW w:w="1350" w:type="dxa"/>
          </w:tcPr>
          <w:p w14:paraId="46C93BCA" w14:textId="788E82F1" w:rsidR="000D62B9" w:rsidRPr="000D62B9" w:rsidRDefault="00772BE4" w:rsidP="008858E8">
            <w:pPr>
              <w:rPr>
                <w:rFonts w:ascii="Times New Roman" w:hAnsi="Times New Roman" w:cs="Times New Roman"/>
                <w:lang w:val="en-US"/>
              </w:rPr>
            </w:pPr>
            <w:r>
              <w:rPr>
                <w:rFonts w:ascii="Times New Roman" w:hAnsi="Times New Roman" w:cs="Times New Roman"/>
                <w:lang w:val="en-US"/>
              </w:rPr>
              <w:t>Medium</w:t>
            </w:r>
          </w:p>
        </w:tc>
        <w:tc>
          <w:tcPr>
            <w:tcW w:w="1615" w:type="dxa"/>
          </w:tcPr>
          <w:p w14:paraId="31079185" w14:textId="009C7B74" w:rsidR="000D62B9" w:rsidRPr="000D62B9" w:rsidRDefault="00772BE4" w:rsidP="008858E8">
            <w:pPr>
              <w:rPr>
                <w:rFonts w:ascii="Times New Roman" w:hAnsi="Times New Roman" w:cs="Times New Roman"/>
                <w:lang w:val="en-US"/>
              </w:rPr>
            </w:pPr>
            <w:r>
              <w:rPr>
                <w:rFonts w:ascii="Times New Roman" w:hAnsi="Times New Roman" w:cs="Times New Roman"/>
                <w:lang w:val="en-US"/>
              </w:rPr>
              <w:t>Medium</w:t>
            </w:r>
          </w:p>
        </w:tc>
      </w:tr>
      <w:tr w:rsidR="000D62B9" w14:paraId="104C429C" w14:textId="77777777" w:rsidTr="000D62B9">
        <w:tc>
          <w:tcPr>
            <w:tcW w:w="2248" w:type="dxa"/>
          </w:tcPr>
          <w:p w14:paraId="16647FD2" w14:textId="32D6FE03" w:rsidR="000D62B9" w:rsidRPr="006C0AC0" w:rsidRDefault="00772BE4" w:rsidP="008858E8">
            <w:pPr>
              <w:rPr>
                <w:rFonts w:ascii="Times New Roman" w:hAnsi="Times New Roman" w:cs="Times New Roman"/>
                <w:lang w:val="en-US"/>
              </w:rPr>
            </w:pPr>
            <w:r w:rsidRPr="006C0AC0">
              <w:rPr>
                <w:rFonts w:ascii="Times New Roman" w:hAnsi="Times New Roman" w:cs="Times New Roman"/>
                <w:lang w:val="en-US"/>
              </w:rPr>
              <w:t>Consent and User Rights</w:t>
            </w:r>
          </w:p>
        </w:tc>
        <w:tc>
          <w:tcPr>
            <w:tcW w:w="3777" w:type="dxa"/>
          </w:tcPr>
          <w:p w14:paraId="288853A3" w14:textId="0F0A0A95" w:rsidR="000D62B9" w:rsidRPr="006C0AC0" w:rsidRDefault="00106CA4" w:rsidP="008858E8">
            <w:pPr>
              <w:rPr>
                <w:rFonts w:ascii="Times New Roman" w:hAnsi="Times New Roman" w:cs="Times New Roman"/>
                <w:lang w:val="en-US"/>
              </w:rPr>
            </w:pPr>
            <w:r>
              <w:t>The system requires patients to give explicit consent during registration followed by the option to view their information and make requests for updates or deletion or data export.</w:t>
            </w:r>
          </w:p>
        </w:tc>
        <w:tc>
          <w:tcPr>
            <w:tcW w:w="1350" w:type="dxa"/>
          </w:tcPr>
          <w:p w14:paraId="10FD5E79" w14:textId="2213EBFD" w:rsidR="000D62B9" w:rsidRPr="000D62B9" w:rsidRDefault="00772BE4" w:rsidP="008858E8">
            <w:pPr>
              <w:rPr>
                <w:rFonts w:ascii="Times New Roman" w:hAnsi="Times New Roman" w:cs="Times New Roman"/>
                <w:lang w:val="en-US"/>
              </w:rPr>
            </w:pPr>
            <w:r>
              <w:rPr>
                <w:rFonts w:ascii="Times New Roman" w:hAnsi="Times New Roman" w:cs="Times New Roman"/>
                <w:lang w:val="en-US"/>
              </w:rPr>
              <w:t>Medium</w:t>
            </w:r>
          </w:p>
        </w:tc>
        <w:tc>
          <w:tcPr>
            <w:tcW w:w="1615" w:type="dxa"/>
          </w:tcPr>
          <w:p w14:paraId="631DFBA8" w14:textId="24214C4B" w:rsidR="000D62B9" w:rsidRPr="000D62B9" w:rsidRDefault="00772BE4" w:rsidP="008858E8">
            <w:pPr>
              <w:rPr>
                <w:rFonts w:ascii="Times New Roman" w:hAnsi="Times New Roman" w:cs="Times New Roman"/>
                <w:lang w:val="en-US"/>
              </w:rPr>
            </w:pPr>
            <w:r>
              <w:rPr>
                <w:rFonts w:ascii="Times New Roman" w:hAnsi="Times New Roman" w:cs="Times New Roman"/>
                <w:lang w:val="en-US"/>
              </w:rPr>
              <w:t>High</w:t>
            </w:r>
          </w:p>
        </w:tc>
      </w:tr>
      <w:tr w:rsidR="000D62B9" w14:paraId="3BF4068D" w14:textId="77777777" w:rsidTr="000D62B9">
        <w:tc>
          <w:tcPr>
            <w:tcW w:w="2248" w:type="dxa"/>
          </w:tcPr>
          <w:p w14:paraId="58A427B2" w14:textId="0535BB67" w:rsidR="000D62B9" w:rsidRPr="006C0AC0" w:rsidRDefault="00772BE4" w:rsidP="008858E8">
            <w:pPr>
              <w:rPr>
                <w:rFonts w:ascii="Times New Roman" w:hAnsi="Times New Roman" w:cs="Times New Roman"/>
                <w:lang w:val="en-US"/>
              </w:rPr>
            </w:pPr>
            <w:r w:rsidRPr="006C0AC0">
              <w:rPr>
                <w:rFonts w:ascii="Times New Roman" w:hAnsi="Times New Roman" w:cs="Times New Roman"/>
                <w:lang w:val="en-US"/>
              </w:rPr>
              <w:t>Data Retention Policy</w:t>
            </w:r>
          </w:p>
        </w:tc>
        <w:tc>
          <w:tcPr>
            <w:tcW w:w="3777" w:type="dxa"/>
          </w:tcPr>
          <w:p w14:paraId="2C93CD61" w14:textId="3F239BB6" w:rsidR="000D62B9" w:rsidRPr="006C0AC0" w:rsidRDefault="00106CA4" w:rsidP="008858E8">
            <w:pPr>
              <w:rPr>
                <w:rFonts w:ascii="Times New Roman" w:hAnsi="Times New Roman" w:cs="Times New Roman"/>
                <w:lang w:val="en-US"/>
              </w:rPr>
            </w:pPr>
            <w:r>
              <w:t>The medical and administrative records must be preserved according to Australian legal requirements of seven years before becoming anonymous or facing complete destruction.</w:t>
            </w:r>
          </w:p>
        </w:tc>
        <w:tc>
          <w:tcPr>
            <w:tcW w:w="1350" w:type="dxa"/>
          </w:tcPr>
          <w:p w14:paraId="3D3AC36D" w14:textId="4FBD8290" w:rsidR="000D62B9" w:rsidRPr="000D62B9" w:rsidRDefault="00772BE4" w:rsidP="008858E8">
            <w:pPr>
              <w:rPr>
                <w:rFonts w:ascii="Times New Roman" w:hAnsi="Times New Roman" w:cs="Times New Roman"/>
                <w:lang w:val="en-US"/>
              </w:rPr>
            </w:pPr>
            <w:r>
              <w:rPr>
                <w:rFonts w:ascii="Times New Roman" w:hAnsi="Times New Roman" w:cs="Times New Roman"/>
                <w:lang w:val="en-US"/>
              </w:rPr>
              <w:t xml:space="preserve">Medium </w:t>
            </w:r>
          </w:p>
        </w:tc>
        <w:tc>
          <w:tcPr>
            <w:tcW w:w="1615" w:type="dxa"/>
          </w:tcPr>
          <w:p w14:paraId="1268077D" w14:textId="09AEE5A8" w:rsidR="000D62B9" w:rsidRPr="000D62B9" w:rsidRDefault="00772BE4" w:rsidP="008858E8">
            <w:pPr>
              <w:rPr>
                <w:rFonts w:ascii="Times New Roman" w:hAnsi="Times New Roman" w:cs="Times New Roman"/>
                <w:lang w:val="en-US"/>
              </w:rPr>
            </w:pPr>
            <w:r>
              <w:rPr>
                <w:rFonts w:ascii="Times New Roman" w:hAnsi="Times New Roman" w:cs="Times New Roman"/>
                <w:lang w:val="en-US"/>
              </w:rPr>
              <w:t>High</w:t>
            </w:r>
          </w:p>
        </w:tc>
      </w:tr>
      <w:tr w:rsidR="00772BE4" w14:paraId="3364D1B3" w14:textId="77777777" w:rsidTr="000D62B9">
        <w:tc>
          <w:tcPr>
            <w:tcW w:w="2248" w:type="dxa"/>
          </w:tcPr>
          <w:p w14:paraId="4D554E6B" w14:textId="3DF6D484" w:rsidR="00772BE4" w:rsidRPr="006C0AC0" w:rsidRDefault="00772BE4" w:rsidP="008858E8">
            <w:pPr>
              <w:rPr>
                <w:rFonts w:ascii="Times New Roman" w:hAnsi="Times New Roman" w:cs="Times New Roman"/>
                <w:lang w:val="en-US"/>
              </w:rPr>
            </w:pPr>
            <w:r w:rsidRPr="006C0AC0">
              <w:rPr>
                <w:rFonts w:ascii="Times New Roman" w:hAnsi="Times New Roman" w:cs="Times New Roman"/>
                <w:lang w:val="en-US"/>
              </w:rPr>
              <w:t>Data Breach Response Plan</w:t>
            </w:r>
          </w:p>
        </w:tc>
        <w:tc>
          <w:tcPr>
            <w:tcW w:w="3777" w:type="dxa"/>
          </w:tcPr>
          <w:p w14:paraId="5CAE3C9B" w14:textId="6E1FA138" w:rsidR="00772BE4" w:rsidRPr="006C0AC0" w:rsidRDefault="00106CA4" w:rsidP="008858E8">
            <w:pPr>
              <w:rPr>
                <w:rFonts w:ascii="Times New Roman" w:hAnsi="Times New Roman" w:cs="Times New Roman"/>
                <w:lang w:val="en-US"/>
              </w:rPr>
            </w:pPr>
            <w:r w:rsidRPr="00106CA4">
              <w:rPr>
                <w:rFonts w:ascii="Times New Roman" w:hAnsi="Times New Roman" w:cs="Times New Roman"/>
                <w:lang w:val="en-US"/>
              </w:rPr>
              <w:t>Establish immediate protocols for breach detection followed by containment and investigation then notify affected persons within 72 hours and report incidents to proper authorities.</w:t>
            </w:r>
          </w:p>
        </w:tc>
        <w:tc>
          <w:tcPr>
            <w:tcW w:w="1350" w:type="dxa"/>
          </w:tcPr>
          <w:p w14:paraId="2357E911" w14:textId="681BC870" w:rsidR="00772BE4" w:rsidRDefault="00772BE4" w:rsidP="008858E8">
            <w:pPr>
              <w:rPr>
                <w:rFonts w:ascii="Times New Roman" w:hAnsi="Times New Roman" w:cs="Times New Roman"/>
                <w:lang w:val="en-US"/>
              </w:rPr>
            </w:pPr>
            <w:r>
              <w:rPr>
                <w:rFonts w:ascii="Times New Roman" w:hAnsi="Times New Roman" w:cs="Times New Roman"/>
                <w:lang w:val="en-US"/>
              </w:rPr>
              <w:t>High</w:t>
            </w:r>
          </w:p>
        </w:tc>
        <w:tc>
          <w:tcPr>
            <w:tcW w:w="1615" w:type="dxa"/>
          </w:tcPr>
          <w:p w14:paraId="7E94F415" w14:textId="5C430902" w:rsidR="00772BE4" w:rsidRDefault="00772BE4" w:rsidP="008858E8">
            <w:pPr>
              <w:rPr>
                <w:rFonts w:ascii="Times New Roman" w:hAnsi="Times New Roman" w:cs="Times New Roman"/>
                <w:lang w:val="en-US"/>
              </w:rPr>
            </w:pPr>
            <w:r>
              <w:rPr>
                <w:rFonts w:ascii="Times New Roman" w:hAnsi="Times New Roman" w:cs="Times New Roman"/>
                <w:lang w:val="en-US"/>
              </w:rPr>
              <w:t>High</w:t>
            </w:r>
          </w:p>
        </w:tc>
      </w:tr>
      <w:tr w:rsidR="00772BE4" w14:paraId="6B9AAC5F" w14:textId="77777777" w:rsidTr="000D62B9">
        <w:tc>
          <w:tcPr>
            <w:tcW w:w="2248" w:type="dxa"/>
          </w:tcPr>
          <w:p w14:paraId="3DCD9479" w14:textId="7C8269AB" w:rsidR="00772BE4" w:rsidRPr="006C0AC0" w:rsidRDefault="00772BE4" w:rsidP="008858E8">
            <w:pPr>
              <w:rPr>
                <w:rFonts w:ascii="Times New Roman" w:hAnsi="Times New Roman" w:cs="Times New Roman"/>
                <w:lang w:val="en-US"/>
              </w:rPr>
            </w:pPr>
            <w:r w:rsidRPr="006C0AC0">
              <w:rPr>
                <w:rFonts w:ascii="Times New Roman" w:hAnsi="Times New Roman" w:cs="Times New Roman"/>
                <w:lang w:val="en-US"/>
              </w:rPr>
              <w:t>Third-Party Compliance</w:t>
            </w:r>
          </w:p>
        </w:tc>
        <w:tc>
          <w:tcPr>
            <w:tcW w:w="3777" w:type="dxa"/>
          </w:tcPr>
          <w:p w14:paraId="12C5B4A3" w14:textId="6267F9D1" w:rsidR="00772BE4" w:rsidRPr="006C0AC0" w:rsidRDefault="00106CA4" w:rsidP="008858E8">
            <w:pPr>
              <w:rPr>
                <w:rFonts w:ascii="Times New Roman" w:hAnsi="Times New Roman" w:cs="Times New Roman"/>
                <w:lang w:val="en-US"/>
              </w:rPr>
            </w:pPr>
            <w:r w:rsidRPr="00106CA4">
              <w:rPr>
                <w:rFonts w:ascii="Times New Roman" w:hAnsi="Times New Roman" w:cs="Times New Roman"/>
                <w:lang w:val="en-US"/>
              </w:rPr>
              <w:t>All external vendors must fulfill HIPAA and GDPR requirements through Data Processing Agreements (DPAs) that they must sign.</w:t>
            </w:r>
          </w:p>
        </w:tc>
        <w:tc>
          <w:tcPr>
            <w:tcW w:w="1350" w:type="dxa"/>
          </w:tcPr>
          <w:p w14:paraId="45AF7A0D" w14:textId="4275BA8E" w:rsidR="00772BE4" w:rsidRDefault="00772BE4" w:rsidP="008858E8">
            <w:pPr>
              <w:rPr>
                <w:rFonts w:ascii="Times New Roman" w:hAnsi="Times New Roman" w:cs="Times New Roman"/>
                <w:lang w:val="en-US"/>
              </w:rPr>
            </w:pPr>
            <w:r>
              <w:rPr>
                <w:rFonts w:ascii="Times New Roman" w:hAnsi="Times New Roman" w:cs="Times New Roman"/>
                <w:lang w:val="en-US"/>
              </w:rPr>
              <w:t>High</w:t>
            </w:r>
          </w:p>
        </w:tc>
        <w:tc>
          <w:tcPr>
            <w:tcW w:w="1615" w:type="dxa"/>
          </w:tcPr>
          <w:p w14:paraId="77EA1E55" w14:textId="4884F0A8" w:rsidR="00772BE4" w:rsidRDefault="00772BE4" w:rsidP="008858E8">
            <w:pPr>
              <w:rPr>
                <w:rFonts w:ascii="Times New Roman" w:hAnsi="Times New Roman" w:cs="Times New Roman"/>
                <w:lang w:val="en-US"/>
              </w:rPr>
            </w:pPr>
            <w:r>
              <w:rPr>
                <w:rFonts w:ascii="Times New Roman" w:hAnsi="Times New Roman" w:cs="Times New Roman"/>
                <w:lang w:val="en-US"/>
              </w:rPr>
              <w:t>High</w:t>
            </w:r>
          </w:p>
        </w:tc>
      </w:tr>
    </w:tbl>
    <w:p w14:paraId="40DB760A" w14:textId="77777777" w:rsidR="006C0AC0" w:rsidRPr="00457139" w:rsidRDefault="006C0AC0" w:rsidP="008858E8">
      <w:pPr>
        <w:ind w:left="360"/>
        <w:rPr>
          <w:rFonts w:ascii="Times New Roman" w:hAnsi="Times New Roman" w:cs="Times New Roman"/>
          <w:lang w:val="en-US"/>
        </w:rPr>
      </w:pPr>
    </w:p>
    <w:p w14:paraId="6EC844B7" w14:textId="77777777" w:rsidR="00106CA4" w:rsidRDefault="00106CA4" w:rsidP="00106CA4">
      <w:r>
        <w:lastRenderedPageBreak/>
        <w:t>The system reduces privacy risks through encryption technologies along with data minimization strategies and strong access controls and anonymization techniques. The system follows Privacy by Design principles which ensure ongoing compliance with privacy laws and data protection best practices through its architectural design.</w:t>
      </w:r>
    </w:p>
    <w:p w14:paraId="3ABAD8D9" w14:textId="77777777" w:rsidR="008858E8" w:rsidRDefault="008858E8"/>
    <w:sectPr w:rsidR="0088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E8"/>
    <w:rsid w:val="000D62B9"/>
    <w:rsid w:val="00106CA4"/>
    <w:rsid w:val="006C0AC0"/>
    <w:rsid w:val="00772BE4"/>
    <w:rsid w:val="008858E8"/>
    <w:rsid w:val="009B02EF"/>
    <w:rsid w:val="00AB6619"/>
    <w:rsid w:val="00EB5B37"/>
    <w:rsid w:val="00E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28EB7"/>
  <w15:chartTrackingRefBased/>
  <w15:docId w15:val="{C5EA3803-185B-4C8A-BCB8-6BD5A0C6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8"/>
    <w:rPr>
      <w:lang w:val="en-AU"/>
    </w:rPr>
  </w:style>
  <w:style w:type="paragraph" w:styleId="Heading1">
    <w:name w:val="heading 1"/>
    <w:basedOn w:val="Normal"/>
    <w:next w:val="Normal"/>
    <w:link w:val="Heading1Char"/>
    <w:uiPriority w:val="9"/>
    <w:qFormat/>
    <w:rsid w:val="008858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8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8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8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8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8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8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8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8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8E8"/>
    <w:rPr>
      <w:rFonts w:eastAsiaTheme="majorEastAsia" w:cstheme="majorBidi"/>
      <w:color w:val="272727" w:themeColor="text1" w:themeTint="D8"/>
    </w:rPr>
  </w:style>
  <w:style w:type="paragraph" w:styleId="Title">
    <w:name w:val="Title"/>
    <w:basedOn w:val="Normal"/>
    <w:next w:val="Normal"/>
    <w:link w:val="TitleChar"/>
    <w:uiPriority w:val="10"/>
    <w:qFormat/>
    <w:rsid w:val="00885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8E8"/>
    <w:pPr>
      <w:spacing w:before="160"/>
      <w:jc w:val="center"/>
    </w:pPr>
    <w:rPr>
      <w:i/>
      <w:iCs/>
      <w:color w:val="404040" w:themeColor="text1" w:themeTint="BF"/>
    </w:rPr>
  </w:style>
  <w:style w:type="character" w:customStyle="1" w:styleId="QuoteChar">
    <w:name w:val="Quote Char"/>
    <w:basedOn w:val="DefaultParagraphFont"/>
    <w:link w:val="Quote"/>
    <w:uiPriority w:val="29"/>
    <w:rsid w:val="008858E8"/>
    <w:rPr>
      <w:i/>
      <w:iCs/>
      <w:color w:val="404040" w:themeColor="text1" w:themeTint="BF"/>
    </w:rPr>
  </w:style>
  <w:style w:type="paragraph" w:styleId="ListParagraph">
    <w:name w:val="List Paragraph"/>
    <w:basedOn w:val="Normal"/>
    <w:uiPriority w:val="34"/>
    <w:qFormat/>
    <w:rsid w:val="008858E8"/>
    <w:pPr>
      <w:ind w:left="720"/>
      <w:contextualSpacing/>
    </w:pPr>
  </w:style>
  <w:style w:type="character" w:styleId="IntenseEmphasis">
    <w:name w:val="Intense Emphasis"/>
    <w:basedOn w:val="DefaultParagraphFont"/>
    <w:uiPriority w:val="21"/>
    <w:qFormat/>
    <w:rsid w:val="008858E8"/>
    <w:rPr>
      <w:i/>
      <w:iCs/>
      <w:color w:val="2F5496" w:themeColor="accent1" w:themeShade="BF"/>
    </w:rPr>
  </w:style>
  <w:style w:type="paragraph" w:styleId="IntenseQuote">
    <w:name w:val="Intense Quote"/>
    <w:basedOn w:val="Normal"/>
    <w:next w:val="Normal"/>
    <w:link w:val="IntenseQuoteChar"/>
    <w:uiPriority w:val="30"/>
    <w:qFormat/>
    <w:rsid w:val="008858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8E8"/>
    <w:rPr>
      <w:i/>
      <w:iCs/>
      <w:color w:val="2F5496" w:themeColor="accent1" w:themeShade="BF"/>
    </w:rPr>
  </w:style>
  <w:style w:type="character" w:styleId="IntenseReference">
    <w:name w:val="Intense Reference"/>
    <w:basedOn w:val="DefaultParagraphFont"/>
    <w:uiPriority w:val="32"/>
    <w:qFormat/>
    <w:rsid w:val="008858E8"/>
    <w:rPr>
      <w:b/>
      <w:bCs/>
      <w:smallCaps/>
      <w:color w:val="2F5496" w:themeColor="accent1" w:themeShade="BF"/>
      <w:spacing w:val="5"/>
    </w:rPr>
  </w:style>
  <w:style w:type="table" w:styleId="TableGrid">
    <w:name w:val="Table Grid"/>
    <w:basedOn w:val="TableNormal"/>
    <w:uiPriority w:val="39"/>
    <w:rsid w:val="006C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8710">
      <w:bodyDiv w:val="1"/>
      <w:marLeft w:val="0"/>
      <w:marRight w:val="0"/>
      <w:marTop w:val="0"/>
      <w:marBottom w:val="0"/>
      <w:divBdr>
        <w:top w:val="none" w:sz="0" w:space="0" w:color="auto"/>
        <w:left w:val="none" w:sz="0" w:space="0" w:color="auto"/>
        <w:bottom w:val="none" w:sz="0" w:space="0" w:color="auto"/>
        <w:right w:val="none" w:sz="0" w:space="0" w:color="auto"/>
      </w:divBdr>
    </w:div>
    <w:div w:id="17922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8FAC-A133-482B-A7CA-7CDB5976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Pages>
  <Words>473</Words>
  <Characters>2974</Characters>
  <Application>Microsoft Office Word</Application>
  <DocSecurity>0</DocSecurity>
  <Lines>148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2025-08-06T03:51:00Z</dcterms:created>
  <dcterms:modified xsi:type="dcterms:W3CDTF">2025-08-09T13:09:00Z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4c360a92-d0c1-4b7d-a312-8fe30c590b1b</vt:lpwstr>
  </property>
</Properties>
</file>