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v="urn:schemas-microsoft-com:vml" xmlns:o="urn:schemas-microsoft-com:office:office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切片示例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文档类型切分示例</w:t>
      </w:r>
      <w:bookmarkEnd w:id="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基本要求</w:t>
      </w:r>
      <w:bookmarkEnd w:id="1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语义完整性优先：在遵守字符数限制的前提下，尽量在完整的句子、段落或逻辑点后进行切分（例如，在句号、标题后换行），避免将一个完整的语义单元割裂到两个子块中。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父块主题应高度概括其下所有子块的核心内容，便于后续检索和理解。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产品设计与定义文档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示例：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空调能耗优化模块是东莞市机关大院节能管理系统中的关键组件，旨在通过智能化控制降低空调系统能耗。该模块集成温度、湿度传感器和智能控制器，实时监测各区域环境参数，并允许用户自定义温度阈值（如制冷模式最低26℃或制热模式最高20℃）。当检测到异常时，系统自动调整运行模式或触发多级警报（预警、报警），通过短信或移动应用通知运维人员。用户界面支持配置时间策略（如办公时间优化、非办公时间节能模式），历史数据记录功能生成月度报告，可视化能耗趋势和节能效果。目标用户包括后勤管理团队和能源工程师，目标是实现年空调能耗降低8%，减少运营成本。此外，提供API接口与现有建筑管理系统（BMS）集成，实现数据同步和自动化控制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预处理：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##[空调能耗优化]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空调能耗优化模块是东莞市机关大院节能管理系统中的关键组件，旨在通过智能化控制降低空调系统能耗。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该模块集成温度、湿度传感器和智能控制器，实时监测各区域环境参数，并允许用户自定义温度阈值（如制冷模式最低26℃或制热模式最高20℃）。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当检测到异常时，系统自动调整运行模式或触发多级警报（预警、报警），通过短信或移动应用通知运维人员。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用户界面支持配置时间策略（如办公时间优化、非办公时间节能模式），历史数据记录功能生成月度报告，可视化能耗趋势和节能效果。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目标用户包括后勤管理团队和能源工程师，目标是实现年空调能耗降低8%，减少运营成本。此外，提供API接口与现有建筑管理系统（BMS）集成，实现数据同步和自动化控制。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核心业务规则文档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示例《空调群控策略》：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中央空调（VRV）群控策略专为办公建筑设计，通过集成传感器和智能算法实现动态调节，优化能耗和舒适度。具体策略包括：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1. 时间调度策略：根据上下班时间（如工作日8:00-18:00）自动开启空调，设定温度24℃制冷或20℃制热；非工作时间进入节能模式，温度调整为28℃制冷或16℃制热。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2. 人流量自适应策略：使用红外 occupancy 传感器检测区域 occupancy，无人时延迟10分钟进入空闲模式，降低风量和调整温度2℃。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3. 室外温度补偿策略：实时监测室外温度，当室外温度&gt;35℃时，室内设定温度下调至23℃；当室外温度&lt;0℃时，上调至22℃制热。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4. 分区优先级策略：将建筑分为多个 zone（如办公区、会议室），高优先级 zone 优先调节舒适度。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5. 季节模式策略：基于日历自动切换模式，夏季（6-9月）制冷，冬季（12-2月）制热，春秋使用通风模式。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6. 能耗管理策略：在电力高峰时段（14:00-16:00）限制运行功率，减少电费。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7. 故障容错策略：监测单元状态，检测故障（如压缩机异常）时自动隔离并重新分配负载。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8. 历史学习策略：分析历史数据（能耗、occupancy）优化设置，如提前预冷会议室。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9. 湿度控制策略：当室内湿度&gt;65%时启动除湿，&lt;40%时加湿。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10. 联动控制策略：协调相邻分区，避免冷热不均，如调整风道阀门。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11. 预约模式策略：允许用户通过移动应用预约空调开启时间。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12. 紧急 override 策略：运维人员手动覆盖自动设置。警报机制在异常时通知，数据记录生成报告，集成BMS系统，目标年节能15%。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预处理：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##[VRV群控策略概述]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中央空调（VRV）群控策略专为办公建筑设计，通过集成传感器和智能算法实现动态调节，优化能耗和舒适度。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##[VRV群控策略]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1. 时间调度策略：根据上下班时间（如工作日8:00-18:00）自动开启空调，设定温度24℃制冷或20℃制热；非工作时间进入节能模式，温度调整为28℃制冷或16℃制热。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2. 人流量自适应策略：使用红外 occupancy 传感器检测区域 occupancy，无人时延迟10分钟进入空闲模式，降低风量和调整温度2℃。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3. 室外温度补偿策略：实时监测室外温度，当室外温度&gt;35℃时，室内设定温度下调至23℃；当室外温度&lt;0℃时，上调至22℃制热。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4. 分区优先级策略：将建筑分为多个 zone（如办公区、会议室），高优先级 zone 优先调节舒适度。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5. 季节模式策略：基于日历自动切换模式，夏季（6-9月）制冷，冬季（12-2月）制热，春秋使用通风模式。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6. 能耗管理策略：在电力高峰时段（14:00-16:00）限制运行功率，减少电费。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7. 故障容错策略：监测单元状态，检测故障（如压缩机异常）时自动隔离并重新分配负载。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8. 历史学习策略：分析历史数据（能耗、occupancy）优化设置，如提前预冷会议室。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9. 湿度控制策略：当室内湿度&gt;65%时启动除湿，&lt;40%时加湿。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10. 联动控制策略：协调相邻分区，避免冷热不均，如调整风道阀门。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11. 预约模式策略：允许用户通过移动应用预约空调开启时间。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12. 紧急 override 策略：运维人员手动覆盖自动设置。警报机制在异常时通知，数据记录生成报告，集成BMS系统，目标年节能15%。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假设“##[VRV群控策略]”长度超过父块的最大长度，根据逻辑进行切分：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##[VRV群控策略-根据温度阈值]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分块1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分块2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##[VRV群控策略-根据时间段]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分块1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分块2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行业与咨询文档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示例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本行业技术白皮书全面阐述数据中心机房PUE（Power Usage Effectiveness）值优化的综合策略、技术实施与经济效益分析，旨在为数据中心运营商、能源管理者和政策制定者提供深度洞察和可行指南。PUE作为核心能效指标，计算公式为总设施能耗除以IT设备能耗；理想值接近1.0，但行业现状显示全球平均PUE约为1.8，部分老旧设施高达2.0以上，能耗结构 typically 为IT设备占50-55%、冷却系统占35-40%、供电损失及照明等辅助设备占10-15%。高PUE不仅导致运营成本激增（冷却费用 often 占总支出的40%），还加剧碳排放，挑战可持续发展目标。优化目标是将PUE降至1.5以下，通过多维度 approach：冷却技术革新包括免费冷却（利用室外低温空气）、 adiabatic cooling、液冷系统和高精度温控传感器实现动态调整；IT优化涉及服务器虚拟化、负载均衡、硬件能效升级和资源 consolidation；监控与数据分析依托IoT传感器网络、AI算法和云平台进行实时PUE追踪、异常检测和预测性维护，确保系统可靠性。案例研究详实：例如，某国际科技公司数据中心通过部署免费冷却和智能调控，PUE从1.75降至1.45，年节能率28%，投资回收期2.5年；另一案例中，通过优化气流管理和采用高效UPS，PUE改善0.2点。成本效益模型分析表明，初始投资500,000至2,000,000元人民币可带来年节省200,000至800,000元，每降低0.1 PUE节省能源费用10-15%。白皮书还涵盖最佳实践如分阶段实施、员工培训计划、合规性考量（符合ISO 50001和中国能效标准），以及未来趋势如可再生能源集成。目标用户包括数据中心经理、能源工程师、咨询顾问和政府官员，最终推动绿色数据中心建设，降低总拥有成本（TCO），支持全球碳中和发展，并提升行业竞争力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预处理：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##[PUE优化分析]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本行业技术白皮书全面阐述数据中心机房PUE（Power Usage Effectiveness）值优化的综合策略、技术实施与经济效益分析，旨在为数据中心运营商、能源管理者和政策制定者提供深度洞察和可行指南。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PUE作为核心能效指标，计算公式为总设施能耗除以IT设备能耗；理想值接近1.0，但行业现状显示全球平均PUE约为1.8，部分老旧设施高达2.0以上，能耗结构通常为IT设备占50-55%、冷却系统占35-40%、供电损失及照明等辅助设备占10-15%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高PUE不仅导致运营成本激增（冷却费用通常占总支出的40%），还加剧碳排放，挑战可持续发展目标。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优化目标是将PUE降至1.5以下，通过多维度方法：冷却技术革新包括免费冷却（利用室外低温空气）、绝热冷却、液冷系统和高精度温控传感器实现动态调整；IT优化涉及服务器虚拟化、负载均衡、硬件能效升级和资源整合；监控与数据分析依托IoT传感器网络、AI算法和云平台进行实时PUE追踪、异常检测和预测性维护，确保系统可靠性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案例研究详实：例如，某国际科技公司数据中心通过部署免费冷却和智能调控，PUE从1.75降至1.45，年节能率28%，投资回收期2.5年；另一案例中，通过优化气流管理和采用高效UPS，PUE改善0.2点。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成本效益模型分析表明，初始投资500,000至2,000,000元人民币可带来年节省200,000至800,000元，每降低0.1 PUE节省能源费用10-15%。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白皮书还涵盖最佳实践如分阶段实施、员工培训计划、合规性考量（符合ISO 50001和中国能效标准），以及未来趋势如可再生能源集成。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目标用户包括数据中心经理、能源工程师、咨询顾问和政府官员，最终推动绿色数据中心建设，降低总拥有成本（TCO），支持全球碳中和发展，并提升行业竞争力。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color w:val="3370ff"/>
          <w:sz w:val="32"/>
        </w:rPr>
        <w:t xml:space="preserve">4. </w:t>
      </w:r>
      <w:r>
        <w:rPr>
          <w:rFonts w:eastAsia="等线" w:ascii="Arial" w:cs="Arial" w:hAnsi="Arial"/>
          <w:b w:val="true"/>
          <w:sz w:val="32"/>
        </w:rPr>
        <w:t>技术与实施文档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示例：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本 API 文档提供数据中心机房能耗监控系统的标准接口规范，采用 RESTful 架构，版本为 v1.0。基础 URL 为：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https://api.example.com/v1/energy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  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所有请求需在 Header 中包含以下信息：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•Authorization: Bearer &lt;token&gt;（用于 OAuth 2.0 认证）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•Content-Type: application/json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核心接口：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GET /api/energy/consumption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用于查询实时能耗，必需参数包括：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•device_id（字符串类型，传感器 ID，例如 “sensor001”）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•timestamp（ISO 8601 格式时间戳）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示例请求与响应：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请求：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GET /api/energy/consumption?device_id=sensor001×tamp=2023-10-01T10:00:00Z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响应：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{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"code": 200,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"message": "success",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"data": {</w:t>
            </w:r>
          </w:p>
          <w:p>
            <w:pPr>
              <w:spacing w:before="120" w:after="120" w:line="288" w:lineRule="auto"/>
              <w:ind w:left="453" w:firstLine="42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"energy_kwh": 150.5</w:t>
            </w:r>
          </w:p>
          <w:p>
            <w:pPr>
              <w:spacing w:before="120" w:after="120" w:line="288" w:lineRule="auto"/>
              <w:ind w:left="453" w:firstLine="42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},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 xml:space="preserve">"timestamp": "2023-10-01T10:00:05Z" 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}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错误响应示例：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{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"code": 400,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 xml:space="preserve">"message": "Invalid device_id format" 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}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速率限制：每分钟 100 次请求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分页参数：page和 page_size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预处理：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##[能耗监控API规范]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 xml:space="preserve">本 API 文档提供数据中心机房能耗监控系统的标准接口规范，采用 RESTful 架构，版本为 v1.0。基础 URL 为： </w:t>
            </w:r>
            <w:r>
              <w:rPr>
                <w:rFonts w:eastAsia="等线" w:ascii="Arial" w:cs="Arial" w:hAnsi="Arial"/>
                <w:color w:val="646a73"/>
                <w:sz w:val="22"/>
              </w:rPr>
              <w:t>https://api.example.com/v1/energy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所有请求需在 Header 中包含以下信息： Authorization: Bearer &lt;token&gt;（用于 OAuth 2.0 认证） Content-Type: application/json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核心接口： GET /api/energy/consumption 用于查询实时能耗，必需参数包括： device_id（字符串类型，传感器 ID，例如 “sensor001”） timestamp（ISO 8601 格式时间戳）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示例请求与响应： 请求： GET /api/energy/consumption?device_id=sensor001×tamp=2023-10-01T10:00:00Z 响应： { "code": 200, "message": "success", "data": { "energy_kwh": 150.5 }, "timestamp": "2023-10-01T10:00:05Z" }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错误响应示例： { "code": 400, "message": "Invalid device_id format" }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速率限制：每分钟 100 次请求 分页参数：page和 page_size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color w:val="3370ff"/>
          <w:sz w:val="32"/>
        </w:rPr>
        <w:t xml:space="preserve">5. </w:t>
      </w:r>
      <w:r>
        <w:rPr>
          <w:rFonts w:eastAsia="等线" w:ascii="Arial" w:cs="Arial" w:hAnsi="Arial"/>
          <w:b w:val="true"/>
          <w:sz w:val="32"/>
        </w:rPr>
        <w:t>项目与客户文档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示例：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在铝加工安全生产管理平台中，七点联动报警配置功能允许用户设置多个监测点的联动触发条件，以增强生产安全。例如，当温度传感器、压力传感器和气体浓度传感器同时超过预设阈值（如温度&gt;50°C、压力&gt;10MPa、气体浓度&gt;100ppm）时，系统会自动触发报警并执行相应动作，如关闭设备或发送通知。配置步骤：1. 登录系统，进入“报警配置”页面。2. 选择“联动报警”选项卡。3. 添加报警点，输入设备ID（如“temp_sensor01”）和阈值参数。4. 设置联动逻辑，例如选择“所有点满足条件时触发”。5. 点击“保存”以应用配置。确保定期测试报警功能以验证有效性。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预处理：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##[七点联动报警配置]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在铝加工安全生产管理平台中，七点联动报警配置功能允许用户设置多个监测点的联动触发条件，以增强生产安全。例如，当温度传感器、压力传感器和气体浓度传感器同时超过预设阈值时，系统会自动触发报警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配置步骤：1. 登录系统，进入“报警配置”页面。2. 选择“联动报警”选项卡。3. 添加报警点，输入设备ID和阈值参数。4. 设置联动逻辑，如选择“所有点满足条件时触发”。5. 点击“保存”以应用配置。示例阈值：温度&gt;50°C、压力&gt;10MPa、气体浓度&gt;100ppm。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7" w:id="7"/>
      <w:r>
        <w:rPr>
          <w:rFonts w:eastAsia="等线" w:ascii="Arial" w:cs="Arial" w:hAnsi="Arial"/>
          <w:b w:val="true"/>
          <w:sz w:val="36"/>
        </w:rPr>
        <w:t>单位统一</w:t>
      </w:r>
      <w:bookmarkEnd w:id="7"/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104pt;mso-width-percent:0;mso-height-percent:0;mso-width-percent:0;mso-height-percent:0" type="#_x0000_t75" o:ole="">
            <v:imagedata r:id="rId6" o:title=""/>
          </v:shape>
          <o:OLEObject DrawAspect="Icon" ObjectID="_1718471219" ProgID="Excel.Sheet.12" ShapeID="_x0000_i1025" Type="Embed" r:id="rId5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766035">
    <w:lvl>
      <w:numFmt w:val="bullet"/>
      <w:suff w:val="tab"/>
      <w:lvlText w:val="•"/>
      <w:rPr>
        <w:color w:val="3370ff"/>
      </w:rPr>
    </w:lvl>
  </w:abstractNum>
  <w:abstractNum w:abstractNumId="766036">
    <w:lvl>
      <w:numFmt w:val="bullet"/>
      <w:suff w:val="tab"/>
      <w:lvlText w:val="•"/>
      <w:rPr>
        <w:color w:val="3370ff"/>
      </w:rPr>
    </w:lvl>
  </w:abstractNum>
  <w:num w:numId="1">
    <w:abstractNumId w:val="766035"/>
  </w:num>
  <w:num w:numId="2">
    <w:abstractNumId w:val="76603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embeddings/Microsoft_Excel_Worksheet1.xlsx" Type="http://schemas.openxmlformats.org/officeDocument/2006/relationships/package"/><Relationship Id="rId6" Target="media/image1.png" Type="http://schemas.openxmlformats.org/officeDocument/2006/relationships/image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2025-09-07T18:07:03Z</dcterms:created>
  <dc:creator>Apache POI</dc:creator>
</cp:coreProperties>
</file>