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Uzina ISRU + Stație de minerit lunar – Descriere &amp; Bilanț energetic</w:t>
      </w:r>
    </w:p>
    <w:p>
      <w:pPr>
        <w:pStyle w:val="BodyArial11"/>
        <w:jc w:val="right"/>
      </w:pPr>
      <w:r>
        <w:t>Data: 25 Aug 2025</w:t>
      </w:r>
    </w:p>
    <w:p>
      <w:pPr>
        <w:pStyle w:val="Heading1"/>
      </w:pPr>
      <w:r>
        <w:t>1) Concept operațional (100 instalații, 24/7)</w:t>
      </w:r>
    </w:p>
    <w:p>
      <w:pPr>
        <w:pStyle w:val="BodyArial11"/>
      </w:pPr>
      <w:r>
        <w:t>Flotă de 100 module identice: recoltare regolit (3 m lățime, 5 cm adâncime), degazare în cuptor etanș (750–900 °C), captare volatili (capcane criogenice), separare He/Ne și îmbogățire izotopică pentru ³He. În paralel, o linie opțională de reducere a ilmenitului (FeTiO₃) produce H₂O care este electrolizată pentru a livra O₂ lichid și H₂ reciclat.</w:t>
      </w:r>
    </w:p>
    <w:p>
      <w:pPr>
        <w:pStyle w:val="BodyArial11"/>
      </w:pPr>
      <w:r>
        <w:t>Surse de energie: micro-reactoare nucleare modulare (termic+electric) pentru continuitate zi/noapte; solar concentrat/PV doar ca supliment. Căldura reziduală este recuperată pentru preîncălzirea regolitului, scăzând energia specifică de degazare spre 0.8 GJ/m³ în condiții optime.</w:t>
      </w:r>
    </w:p>
    <w:p>
      <w:pPr>
        <w:pStyle w:val="Heading1"/>
      </w:pPr>
      <w:r>
        <w:t>2) Layout de uzină (nivel bloc)</w:t>
      </w:r>
    </w:p>
    <w:p>
      <w:pPr>
        <w:pStyle w:val="BodyArial11"/>
      </w:pPr>
      <w:r>
        <w:t>• A. Zona de minerit: excavatoare cu bandă, conveioare etanșe, corturi antipraf; pavaj din reziduu sinterizat.</w:t>
      </w:r>
    </w:p>
    <w:p>
      <w:pPr>
        <w:pStyle w:val="BodyArial11"/>
      </w:pPr>
      <w:r>
        <w:t>• B. Degazare &amp; captare: preîncălzire regenerativă → cuptoare (tub rotativ / pat fluidizat) → colectare gaze → capcane criogenice.</w:t>
      </w:r>
    </w:p>
    <w:p>
      <w:pPr>
        <w:pStyle w:val="BodyArial11"/>
      </w:pPr>
      <w:r>
        <w:t>• C. Separări gaz: He/Ne, compresie He; îmbogățire izotopică (distilare criogenică + superleak) pentru ³He.</w:t>
      </w:r>
    </w:p>
    <w:p>
      <w:pPr>
        <w:pStyle w:val="BodyArial11"/>
      </w:pPr>
      <w:r>
        <w:t>• D. Linia O₂: reducere cu H₂ a ilmenitului → condensare H₂O → electroliză → O₂ lichid, H₂ recirculat.</w:t>
      </w:r>
    </w:p>
    <w:p>
      <w:pPr>
        <w:pStyle w:val="BodyArial11"/>
      </w:pPr>
      <w:r>
        <w:t>• E. Utilități: putere (nuclear), apă de proces, criogenie, mentenanță, control praf, laborator geochimie.</w:t>
      </w:r>
    </w:p>
    <w:p>
      <w:pPr>
        <w:pStyle w:val="BodyArial11"/>
      </w:pPr>
      <w:r>
        <w:t>• F. Logistică: stocare LOX/LH₂/He, umplere, drumuri interne, habitate și ecranare radiații (din regolit compactat).</w:t>
      </w:r>
    </w:p>
    <w:p>
      <w:pPr>
        <w:pStyle w:val="Heading1"/>
      </w:pPr>
      <w:r>
        <w:t>3) Coș zilnic &amp; energie – scenarii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Scenariu</w:t>
            </w:r>
          </w:p>
        </w:tc>
        <w:tc>
          <w:tcPr>
            <w:tcW w:type="dxa" w:w="785"/>
          </w:tcPr>
          <w:p>
            <w:r>
              <w:t>Volum (m³/zi)</w:t>
            </w:r>
          </w:p>
        </w:tc>
        <w:tc>
          <w:tcPr>
            <w:tcW w:type="dxa" w:w="785"/>
          </w:tcPr>
          <w:p>
            <w:r>
              <w:t>Regolit (t/zi)</w:t>
            </w:r>
          </w:p>
        </w:tc>
        <w:tc>
          <w:tcPr>
            <w:tcW w:type="dxa" w:w="785"/>
          </w:tcPr>
          <w:p>
            <w:r>
              <w:t>³He (kg/zi)</w:t>
            </w:r>
          </w:p>
        </w:tc>
        <w:tc>
          <w:tcPr>
            <w:tcW w:type="dxa" w:w="785"/>
          </w:tcPr>
          <w:p>
            <w:r>
              <w:t>He total (t/zi)</w:t>
            </w:r>
          </w:p>
        </w:tc>
        <w:tc>
          <w:tcPr>
            <w:tcW w:type="dxa" w:w="785"/>
          </w:tcPr>
          <w:p>
            <w:r>
              <w:t>H₂O volatili (t/zi)</w:t>
            </w:r>
          </w:p>
        </w:tc>
        <w:tc>
          <w:tcPr>
            <w:tcW w:type="dxa" w:w="785"/>
          </w:tcPr>
          <w:p>
            <w:r>
              <w:t>O₂ lichid (t/zi)</w:t>
            </w:r>
          </w:p>
        </w:tc>
        <w:tc>
          <w:tcPr>
            <w:tcW w:type="dxa" w:w="785"/>
          </w:tcPr>
          <w:p>
            <w:r>
              <w:t>H₂O din reducere (t/zi)</w:t>
            </w:r>
          </w:p>
        </w:tc>
        <w:tc>
          <w:tcPr>
            <w:tcW w:type="dxa" w:w="785"/>
          </w:tcPr>
          <w:p>
            <w:r>
              <w:t>P_th total (MW)</w:t>
            </w:r>
          </w:p>
        </w:tc>
        <w:tc>
          <w:tcPr>
            <w:tcW w:type="dxa" w:w="785"/>
          </w:tcPr>
          <w:p>
            <w:r>
              <w:t>P_e O₂ (MW_e)</w:t>
            </w:r>
          </w:p>
        </w:tc>
        <w:tc>
          <w:tcPr>
            <w:tcW w:type="dxa" w:w="785"/>
          </w:tcPr>
          <w:p>
            <w:r>
              <w:t>P_e total (MW_e)</w:t>
            </w:r>
          </w:p>
        </w:tc>
      </w:tr>
      <w:tr>
        <w:tc>
          <w:tcPr>
            <w:tcW w:type="dxa" w:w="785"/>
          </w:tcPr>
          <w:p>
            <w:r>
              <w:t>Pesimist</w:t>
            </w:r>
          </w:p>
        </w:tc>
        <w:tc>
          <w:tcPr>
            <w:tcW w:type="dxa" w:w="785"/>
          </w:tcPr>
          <w:p>
            <w:r>
              <w:t>17280</w:t>
            </w:r>
          </w:p>
        </w:tc>
        <w:tc>
          <w:tcPr>
            <w:tcW w:type="dxa" w:w="785"/>
          </w:tcPr>
          <w:p>
            <w:r>
              <w:t>27648</w:t>
            </w:r>
          </w:p>
        </w:tc>
        <w:tc>
          <w:tcPr>
            <w:tcW w:type="dxa" w:w="785"/>
          </w:tcPr>
          <w:p>
            <w:r>
              <w:t>0.097</w:t>
            </w:r>
          </w:p>
        </w:tc>
        <w:tc>
          <w:tcPr>
            <w:tcW w:type="dxa" w:w="785"/>
          </w:tcPr>
          <w:p>
            <w:r>
              <w:t>0.32 (±0.16)</w:t>
            </w:r>
          </w:p>
        </w:tc>
        <w:tc>
          <w:tcPr>
            <w:tcW w:type="dxa" w:w="785"/>
          </w:tcPr>
          <w:p>
            <w:r>
              <w:t>0.2</w:t>
            </w:r>
          </w:p>
        </w:tc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360</w:t>
            </w:r>
          </w:p>
        </w:tc>
        <w:tc>
          <w:tcPr>
            <w:tcW w:type="dxa" w:w="785"/>
          </w:tcPr>
          <w:p>
            <w:r>
              <w:t>24.2</w:t>
            </w:r>
          </w:p>
        </w:tc>
        <w:tc>
          <w:tcPr>
            <w:tcW w:type="dxa" w:w="785"/>
          </w:tcPr>
          <w:p>
            <w:r>
              <w:t>44.2</w:t>
            </w:r>
          </w:p>
        </w:tc>
      </w:tr>
      <w:tr>
        <w:tc>
          <w:tcPr>
            <w:tcW w:type="dxa" w:w="785"/>
          </w:tcPr>
          <w:p>
            <w:r>
              <w:t>Median</w:t>
            </w:r>
          </w:p>
        </w:tc>
        <w:tc>
          <w:tcPr>
            <w:tcW w:type="dxa" w:w="785"/>
          </w:tcPr>
          <w:p>
            <w:r>
              <w:t>25920</w:t>
            </w:r>
          </w:p>
        </w:tc>
        <w:tc>
          <w:tcPr>
            <w:tcW w:type="dxa" w:w="785"/>
          </w:tcPr>
          <w:p>
            <w:r>
              <w:t>41472</w:t>
            </w:r>
          </w:p>
        </w:tc>
        <w:tc>
          <w:tcPr>
            <w:tcW w:type="dxa" w:w="785"/>
          </w:tcPr>
          <w:p>
            <w:r>
              <w:t>0.332</w:t>
            </w:r>
          </w:p>
        </w:tc>
        <w:tc>
          <w:tcPr>
            <w:tcW w:type="dxa" w:w="785"/>
          </w:tcPr>
          <w:p>
            <w:r>
              <w:t>1.11 (±0.55)</w:t>
            </w:r>
          </w:p>
        </w:tc>
        <w:tc>
          <w:tcPr>
            <w:tcW w:type="dxa" w:w="785"/>
          </w:tcPr>
          <w:p>
            <w:r>
              <w:t>1.5</w:t>
            </w:r>
          </w:p>
        </w:tc>
        <w:tc>
          <w:tcPr>
            <w:tcW w:type="dxa" w:w="785"/>
          </w:tcPr>
          <w:p>
            <w:r>
              <w:t>305</w:t>
            </w:r>
          </w:p>
        </w:tc>
        <w:tc>
          <w:tcPr>
            <w:tcW w:type="dxa" w:w="785"/>
          </w:tcPr>
          <w:p>
            <w:r>
              <w:t>343</w:t>
            </w:r>
          </w:p>
        </w:tc>
        <w:tc>
          <w:tcPr>
            <w:tcW w:type="dxa" w:w="785"/>
          </w:tcPr>
          <w:p>
            <w:r>
              <w:t>330</w:t>
            </w:r>
          </w:p>
        </w:tc>
        <w:tc>
          <w:tcPr>
            <w:tcW w:type="dxa" w:w="785"/>
          </w:tcPr>
          <w:p>
            <w:r>
              <w:t>82.6</w:t>
            </w:r>
          </w:p>
        </w:tc>
        <w:tc>
          <w:tcPr>
            <w:tcW w:type="dxa" w:w="785"/>
          </w:tcPr>
          <w:p>
            <w:r>
              <w:t>132.6</w:t>
            </w:r>
          </w:p>
        </w:tc>
      </w:tr>
      <w:tr>
        <w:tc>
          <w:tcPr>
            <w:tcW w:type="dxa" w:w="785"/>
          </w:tcPr>
          <w:p>
            <w:r>
              <w:t>Optimist</w:t>
            </w:r>
          </w:p>
        </w:tc>
        <w:tc>
          <w:tcPr>
            <w:tcW w:type="dxa" w:w="785"/>
          </w:tcPr>
          <w:p>
            <w:r>
              <w:t>32400</w:t>
            </w:r>
          </w:p>
        </w:tc>
        <w:tc>
          <w:tcPr>
            <w:tcW w:type="dxa" w:w="785"/>
          </w:tcPr>
          <w:p>
            <w:r>
              <w:t>51840</w:t>
            </w:r>
          </w:p>
        </w:tc>
        <w:tc>
          <w:tcPr>
            <w:tcW w:type="dxa" w:w="785"/>
          </w:tcPr>
          <w:p>
            <w:r>
              <w:t>0.933</w:t>
            </w:r>
          </w:p>
        </w:tc>
        <w:tc>
          <w:tcPr>
            <w:tcW w:type="dxa" w:w="785"/>
          </w:tcPr>
          <w:p>
            <w:r>
              <w:t>3.11 (±1.56)</w:t>
            </w:r>
          </w:p>
        </w:tc>
        <w:tc>
          <w:tcPr>
            <w:tcW w:type="dxa" w:w="785"/>
          </w:tcPr>
          <w:p>
            <w:r>
              <w:t>7.3</w:t>
            </w:r>
          </w:p>
        </w:tc>
        <w:tc>
          <w:tcPr>
            <w:tcW w:type="dxa" w:w="785"/>
          </w:tcPr>
          <w:p>
            <w:r>
              <w:t>653</w:t>
            </w:r>
          </w:p>
        </w:tc>
        <w:tc>
          <w:tcPr>
            <w:tcW w:type="dxa" w:w="785"/>
          </w:tcPr>
          <w:p>
            <w:r>
              <w:t>735</w:t>
            </w:r>
          </w:p>
        </w:tc>
        <w:tc>
          <w:tcPr>
            <w:tcW w:type="dxa" w:w="785"/>
          </w:tcPr>
          <w:p>
            <w:r>
              <w:t>315</w:t>
            </w:r>
          </w:p>
        </w:tc>
        <w:tc>
          <w:tcPr>
            <w:tcW w:type="dxa" w:w="785"/>
          </w:tcPr>
          <w:p>
            <w:r>
              <w:t>149.7</w:t>
            </w:r>
          </w:p>
        </w:tc>
        <w:tc>
          <w:tcPr>
            <w:tcW w:type="dxa" w:w="785"/>
          </w:tcPr>
          <w:p>
            <w:r>
              <w:t>229.7</w:t>
            </w:r>
          </w:p>
        </w:tc>
      </w:tr>
    </w:tbl>
    <w:p>
      <w:pPr>
        <w:pStyle w:val="BodyArial11"/>
      </w:pPr>
      <w:r>
        <w:t>Notă He total: intervalul indică incertitudinea raportului ³He/He în vântul solar (≈2×10⁻⁴…5×10⁻⁴). Valoarea din tabel este mediana; ± este semi-intervalul până la capete.</w:t>
      </w:r>
    </w:p>
    <w:p>
      <w:pPr>
        <w:pStyle w:val="Heading1"/>
      </w:pPr>
      <w:r>
        <w:t>4) Bilanț energetic – explicații</w:t>
      </w:r>
    </w:p>
    <w:p>
      <w:pPr>
        <w:pStyle w:val="BodyArial11"/>
      </w:pPr>
      <w:r>
        <w:t>• Degazare: 3 MW_th/instalație → 300 MW_th pentru 100. Integrarea termică pentru reducerea ilmenitului adaugă +5–20% termic, în funcție de scenariu (tabel, col. P_th total).</w:t>
        <w:br/>
        <w:t>• Electroiză O₂: ~5.5–8.0 kWh/kg O₂ ⇒ vezi col. P_e O₂; aceasta domină consumul electric dacă producția de O₂ e mare.</w:t>
        <w:br/>
        <w:t>• Auxiliare: 0.2–0.8 MW_e/inst (vid, criogenie, transport), incluse în P_e total.</w:t>
      </w:r>
    </w:p>
    <w:p>
      <w:pPr>
        <w:pStyle w:val="Heading1"/>
      </w:pPr>
      <w:r>
        <w:t>5) Apă – bilanț &amp; utilizări</w:t>
      </w:r>
    </w:p>
    <w:p>
      <w:pPr>
        <w:pStyle w:val="BodyArial11"/>
      </w:pPr>
      <w:r>
        <w:t>Există două fluxuri de H₂O: (i) volatile degazate din regolit (ppm locale), (ii) apă din reducerea ilmenitului. Partea (ii) este de regulă electrolizată pentru a furniza O₂, dar o fracție poate fi deviată ca apă tehnologică / viață. Ex.: în scenariul Median, ~1 t/zi (volatili) + ~343 t/zi (din reducere).</w:t>
      </w:r>
    </w:p>
    <w:p>
      <w:pPr>
        <w:pStyle w:val="Heading1"/>
      </w:pPr>
      <w:r>
        <w:t>6) Dimensionare energetică a stației de minerit</w:t>
      </w:r>
    </w:p>
    <w:p>
      <w:pPr>
        <w:pStyle w:val="BodyArial11"/>
      </w:pPr>
      <w:r>
        <w:t>Configurație de referință (scenariu Median):</w:t>
        <w:br/>
        <w:t>• Termic continuu: ~330 MW_th (degazare + reducere).</w:t>
        <w:br/>
        <w:t>• Electric continuu: ~133 MW_e (incl. ~83 MW_e pentru electroiză O₂).</w:t>
        <w:br/>
        <w:t>• Surse: 20 micro-reactoare de ~20 MW_th fiecare, cu conversie Brayton ~30% → ~120 MW_e net (suficient pentru O₂ + auxiliare). Redundanță și sarcini de vârf pot fi acoperite cu stocare termică/CRYO și PV.</w:t>
      </w:r>
    </w:p>
    <w:p>
      <w:pPr>
        <w:pStyle w:val="Heading1"/>
      </w:pPr>
      <w:r>
        <w:t>7) Observații și riscuri tehnice</w:t>
      </w:r>
    </w:p>
    <w:p>
      <w:pPr>
        <w:pStyle w:val="BodyArial11"/>
      </w:pPr>
      <w:r>
        <w:t>• Cartografierea reală a ilmenitului și a volatilor locale poate schimba ordinea de mărime a producției de O₂ și H₂O.</w:t>
      </w:r>
    </w:p>
    <w:p>
      <w:pPr>
        <w:pStyle w:val="BodyArial11"/>
      </w:pPr>
      <w:r>
        <w:t>• Captarea etanșă a gazelor este critică; pierderile de He în vid sunt definitive.</w:t>
      </w:r>
    </w:p>
    <w:p>
      <w:pPr>
        <w:pStyle w:val="BodyArial11"/>
      </w:pPr>
      <w:r>
        <w:t>• Întreținerea cuptoarelor (cămași ceramice) și a filtrelor antipraf determină disponibilitatea (&gt;90% target).</w:t>
      </w:r>
    </w:p>
    <w:p>
      <w:pPr>
        <w:pStyle w:val="BodyArial11"/>
      </w:pPr>
      <w:r>
        <w:t>• Electroliza este consumatorul principal de electric; optimizarea energetică (căldură deșeu → preîncălzire apă) reduce kWh/kg O₂.</w:t>
      </w:r>
    </w:p>
    <w:p>
      <w:pPr>
        <w:pStyle w:val="BodyArial11"/>
      </w:pPr>
      <w:r>
        <w:t>• Logistica LOX: lichefiere/ stocare criogenică dimensionate la sute de t/zi la scenariile superioare.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Arial11">
    <w:name w:val="Body Arial 11"/>
    <w:rPr>
      <w:rFonts w:ascii="Arial" w:hAnsi="Arial" w:eastAsia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