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f4e79"/>
          <w:sz w:val="44"/>
          <w:szCs w:val="44"/>
          <w:rtl w:val="0"/>
        </w:rPr>
        <w:t xml:space="preserve">DECISION MEMO</w:t>
      </w:r>
      <w:r w:rsidDel="00000000" w:rsidR="00000000" w:rsidRPr="00000000">
        <w:rPr>
          <w:rtl w:val="0"/>
        </w:rPr>
      </w:r>
    </w:p>
    <w:p w:rsidR="00000000" w:rsidDel="00000000" w:rsidP="00000000" w:rsidRDefault="00000000" w:rsidRPr="00000000" w14:paraId="00000002">
      <w:pPr>
        <w:pBdr>
          <w:bottom w:color="2e75b6" w:space="2" w:sz="12" w:val="single"/>
        </w:pBdr>
        <w:spacing w:after="60" w:before="0" w:lineRule="auto"/>
        <w:rPr/>
      </w:pPr>
      <w:r w:rsidDel="00000000" w:rsidR="00000000" w:rsidRPr="00000000">
        <w:rPr>
          <w:rFonts w:ascii="Arial" w:cs="Arial" w:eastAsia="Arial" w:hAnsi="Arial"/>
          <w:color w:val="444444"/>
          <w:sz w:val="28"/>
          <w:szCs w:val="28"/>
          <w:rtl w:val="0"/>
        </w:rPr>
        <w:t xml:space="preserve">Walmart Inc. (WMT) — Financial Ratio Analysis | FY2025</w:t>
      </w:r>
      <w:r w:rsidDel="00000000" w:rsidR="00000000" w:rsidRPr="00000000">
        <w:rPr>
          <w:rtl w:val="0"/>
        </w:rPr>
      </w:r>
    </w:p>
    <w:p w:rsidR="00000000" w:rsidDel="00000000" w:rsidP="00000000" w:rsidRDefault="00000000" w:rsidRPr="00000000" w14:paraId="00000003">
      <w:pPr>
        <w:spacing w:after="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f4e79"/>
                <w:sz w:val="20"/>
                <w:szCs w:val="20"/>
                <w:rtl w:val="0"/>
              </w:rPr>
              <w:t xml:space="preserve">Created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sz w:val="20"/>
                <w:szCs w:val="20"/>
                <w:rtl w:val="0"/>
              </w:rPr>
              <w:t xml:space="preserve">Melia Sincere Belmes-Picache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4e79"/>
                <w:sz w:val="20"/>
                <w:szCs w:val="20"/>
                <w:rtl w:val="0"/>
              </w:rPr>
              <w:t xml:space="preserve">Date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April 1,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0"/>
                <w:szCs w:val="20"/>
                <w:rtl w:val="0"/>
              </w:rPr>
              <w:t xml:space="preserve">LLM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Claude Sonnet 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Financial Analyst / FP&amp;A Analyst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CFO or Director of FP&amp;A</w:t>
            </w:r>
            <w:r w:rsidDel="00000000" w:rsidR="00000000" w:rsidRPr="00000000">
              <w:rPr>
                <w:rtl w:val="0"/>
              </w:rPr>
            </w:r>
          </w:p>
        </w:tc>
      </w:tr>
    </w:tbl>
    <w:p w:rsidR="00000000" w:rsidDel="00000000" w:rsidP="00000000" w:rsidRDefault="00000000" w:rsidRPr="00000000" w14:paraId="00000010">
      <w:pPr>
        <w:spacing w:after="0" w:before="280" w:lineRule="auto"/>
        <w:rPr/>
      </w:pPr>
      <w:r w:rsidDel="00000000" w:rsidR="00000000" w:rsidRPr="00000000">
        <w:rPr>
          <w:rtl w:val="0"/>
        </w:rPr>
      </w:r>
    </w:p>
    <w:p w:rsidR="00000000" w:rsidDel="00000000" w:rsidP="00000000" w:rsidRDefault="00000000" w:rsidRPr="00000000" w14:paraId="00000011">
      <w:pPr>
        <w:pBdr>
          <w:bottom w:color="2e75b6" w:space="1" w:sz="6" w:val="single"/>
        </w:pBdr>
        <w:spacing w:after="120" w:before="320" w:lineRule="auto"/>
        <w:rPr/>
      </w:pPr>
      <w:r w:rsidDel="00000000" w:rsidR="00000000" w:rsidRPr="00000000">
        <w:rPr>
          <w:rFonts w:ascii="Arial" w:cs="Arial" w:eastAsia="Arial" w:hAnsi="Arial"/>
          <w:b w:val="1"/>
          <w:bCs w:val="1"/>
          <w:color w:val="1f4e79"/>
          <w:sz w:val="36"/>
          <w:szCs w:val="36"/>
          <w:rtl w:val="0"/>
        </w:rPr>
        <w:t xml:space="preserve">Executive Summary</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Walmart Inc. (NYSE: WMT) is the world's largest retailer by revenue, operating across Walmart U.S., Walmart International, and Sam's Club segments. This memo initiates a comprehensive financial ratio analysis of Walmart's FY2025 results (fiscal year ended January 31, 2025) to support a CFO-level briefing on financial health, operational efficiency, leverage, and value creation.</w:t>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In FY2025, Walmart delivered $681.0 billion in net sales — a 5.1% year-over-year increase — while growing operating income 8.6% to $29.3 billion, demonstrating operating leverage. Net income surged 25.3% to $19.4 billion, aided by a favorable tax rate and declining non-recurring losses. The full ratio analysis will quantify profitability, efficiency, liquidity, and market valuation metrics to identify performance drivers and flag areas warranting management attention.</w:t>
      </w:r>
      <w:r w:rsidDel="00000000" w:rsidR="00000000" w:rsidRPr="00000000">
        <w:rPr>
          <w:rtl w:val="0"/>
        </w:rPr>
      </w:r>
    </w:p>
    <w:p w:rsidR="00000000" w:rsidDel="00000000" w:rsidP="00000000" w:rsidRDefault="00000000" w:rsidRPr="00000000" w14:paraId="00000014">
      <w:pPr>
        <w:spacing w:after="0" w:before="200" w:lineRule="auto"/>
        <w:rPr/>
      </w:pPr>
      <w:r w:rsidDel="00000000" w:rsidR="00000000" w:rsidRPr="00000000">
        <w:rPr>
          <w:rtl w:val="0"/>
        </w:rPr>
      </w:r>
    </w:p>
    <w:p w:rsidR="00000000" w:rsidDel="00000000" w:rsidP="00000000" w:rsidRDefault="00000000" w:rsidRPr="00000000" w14:paraId="00000015">
      <w:pPr>
        <w:pBdr>
          <w:bottom w:color="2e75b6" w:space="1" w:sz="6" w:val="single"/>
        </w:pBdr>
        <w:spacing w:after="120" w:before="320" w:lineRule="auto"/>
        <w:rPr/>
      </w:pPr>
      <w:r w:rsidDel="00000000" w:rsidR="00000000" w:rsidRPr="00000000">
        <w:rPr>
          <w:rFonts w:ascii="Arial" w:cs="Arial" w:eastAsia="Arial" w:hAnsi="Arial"/>
          <w:b w:val="1"/>
          <w:bCs w:val="1"/>
          <w:color w:val="1f4e79"/>
          <w:sz w:val="36"/>
          <w:szCs w:val="36"/>
          <w:rtl w:val="0"/>
        </w:rPr>
        <w:t xml:space="preserve">Company Background &amp; Objectives</w:t>
      </w:r>
      <w:r w:rsidDel="00000000" w:rsidR="00000000" w:rsidRPr="00000000">
        <w:rPr>
          <w:rtl w:val="0"/>
        </w:rPr>
      </w:r>
    </w:p>
    <w:p w:rsidR="00000000" w:rsidDel="00000000" w:rsidP="00000000" w:rsidRDefault="00000000" w:rsidRPr="00000000" w14:paraId="00000016">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Walmart Inc. is a publicly traded multinational retail corporation headquartered in Bentonville, Arkansas. Founded in 1962 and listed on the NYSE (ticker: WMT), Walmart operates more than 10,750 stores and numerous eCommerce websites across 19 countries, serving approximately 270 million customers and members each week. The company employs roughly 2.1 million associates worldwide, making it one of the largest private employers globally.</w:t>
      </w: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Walmart competes in the mass-market retail, grocery, and e-commerce industries, where it maintains a dominant cost-leadership position. Its fiscal year runs February through January, and its FY2025 results reflect the period ended January 31, 2025.</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Key strategic initiatives driving FY2025 performance include: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eCommerce growth of 22% globally, now representing a meaningful share of total net sales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business expansion of 27% year-over-year, reaching $4.4 billion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Completion of the VIZIO Holding Corp. acquisition to strengthen media and retail media capabilities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13% dividend increase — the largest in over a decade — signaling management confidence in cash generation</w:t>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The objective of this project is to compute 25+ accounting and performance ratios from Walmart's FY2025 financial statements, organized into five analytical categories: performance (MVA, EVA, ROA, ROE, ROC), profitability (margins and Du Pont decomposition), efficiency (asset and inventory turnover), leverage (debt ratios and coverage), and liquidity (current, quick, and cash ratios). Results will inform a CFO-level assessment of Walmart's financial position and benchmark against prior-year performance.</w:t>
      </w:r>
      <w:r w:rsidDel="00000000" w:rsidR="00000000" w:rsidRPr="00000000">
        <w:rPr>
          <w:rtl w:val="0"/>
        </w:rPr>
      </w:r>
    </w:p>
    <w:p w:rsidR="00000000" w:rsidDel="00000000" w:rsidP="00000000" w:rsidRDefault="00000000" w:rsidRPr="00000000" w14:paraId="0000001E">
      <w:pPr>
        <w:spacing w:after="0" w:before="200" w:lineRule="auto"/>
        <w:rPr/>
      </w:pPr>
      <w:r w:rsidDel="00000000" w:rsidR="00000000" w:rsidRPr="00000000">
        <w:rPr>
          <w:rtl w:val="0"/>
        </w:rPr>
      </w:r>
    </w:p>
    <w:p w:rsidR="00000000" w:rsidDel="00000000" w:rsidP="00000000" w:rsidRDefault="00000000" w:rsidRPr="00000000" w14:paraId="0000001F">
      <w:pPr>
        <w:spacing w:after="120" w:before="320" w:lineRule="auto"/>
        <w:rPr/>
      </w:pPr>
      <w:r w:rsidDel="00000000" w:rsidR="00000000" w:rsidRPr="00000000">
        <w:rPr>
          <w:rFonts w:ascii="Arial" w:cs="Arial" w:eastAsia="Arial" w:hAnsi="Arial"/>
          <w:b w:val="1"/>
          <w:bCs w:val="1"/>
          <w:color w:val="2e75b6"/>
          <w:sz w:val="28"/>
          <w:szCs w:val="28"/>
          <w:rtl w:val="0"/>
        </w:rPr>
        <w:t xml:space="preserve">Key Financial Data — FY2025 vs. FY2024</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b w:val="0"/>
          <w:bCs w:val="0"/>
          <w:i w:val="1"/>
          <w:iCs w:val="1"/>
          <w:color w:val="000000"/>
          <w:sz w:val="22"/>
          <w:szCs w:val="22"/>
          <w:rtl w:val="0"/>
        </w:rPr>
        <w:t xml:space="preserve">All figures in millions USD unless otherwise noted. Source: Walmart FY2025 10-K (filed February 2025) and FY2024 10-K.</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40" w:before="100" w:lineRule="auto"/>
        <w:rPr/>
      </w:pPr>
      <w:r w:rsidDel="00000000" w:rsidR="00000000" w:rsidRPr="00000000">
        <w:rPr>
          <w:rFonts w:ascii="Arial" w:cs="Arial" w:eastAsia="Arial" w:hAnsi="Arial"/>
          <w:b w:val="1"/>
          <w:bCs w:val="1"/>
          <w:color w:val="1f4e79"/>
          <w:sz w:val="22"/>
          <w:szCs w:val="22"/>
          <w:rtl w:val="0"/>
        </w:rPr>
        <w:t xml:space="preserve">Income Statement</w:t>
      </w: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90"/>
        <w:gridCol w:w="1890"/>
        <w:gridCol w:w="1380"/>
        <w:tblGridChange w:id="0">
          <w:tblGrid>
            <w:gridCol w:w="3200"/>
            <w:gridCol w:w="1890"/>
            <w:gridCol w:w="1890"/>
            <w:gridCol w:w="1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FY2025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FY2024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YoY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20"/>
                <w:szCs w:val="20"/>
                <w:rtl w:val="0"/>
              </w:rPr>
              <w:t xml:space="preserve">Net Sales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jc w:val="right"/>
              <w:rPr/>
            </w:pPr>
            <w:r w:rsidDel="00000000" w:rsidR="00000000" w:rsidRPr="00000000">
              <w:rPr>
                <w:rFonts w:ascii="Arial" w:cs="Arial" w:eastAsia="Arial" w:hAnsi="Arial"/>
                <w:sz w:val="20"/>
                <w:szCs w:val="20"/>
                <w:rtl w:val="0"/>
              </w:rPr>
              <w:t xml:space="preserve">$680,985M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jc w:val="right"/>
              <w:rPr/>
            </w:pPr>
            <w:r w:rsidDel="00000000" w:rsidR="00000000" w:rsidRPr="00000000">
              <w:rPr>
                <w:rFonts w:ascii="Arial" w:cs="Arial" w:eastAsia="Arial" w:hAnsi="Arial"/>
                <w:sz w:val="20"/>
                <w:szCs w:val="20"/>
                <w:rtl w:val="0"/>
              </w:rPr>
              <w:t xml:space="preserve">$648,125M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jc w:val="right"/>
              <w:rPr/>
            </w:pPr>
            <w:r w:rsidDel="00000000" w:rsidR="00000000" w:rsidRPr="00000000">
              <w:rPr>
                <w:rFonts w:ascii="Arial" w:cs="Arial" w:eastAsia="Arial" w:hAnsi="Arial"/>
                <w:sz w:val="20"/>
                <w:szCs w:val="20"/>
                <w:rtl w:val="0"/>
              </w:rPr>
              <w:t xml:space="preserve">+5.1%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sz w:val="20"/>
                <w:szCs w:val="20"/>
                <w:rtl w:val="0"/>
              </w:rPr>
              <w:t xml:space="preserve">Cost of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C">
            <w:pPr>
              <w:jc w:val="right"/>
              <w:rPr/>
            </w:pPr>
            <w:r w:rsidDel="00000000" w:rsidR="00000000" w:rsidRPr="00000000">
              <w:rPr>
                <w:rFonts w:ascii="Arial" w:cs="Arial" w:eastAsia="Arial" w:hAnsi="Arial"/>
                <w:sz w:val="20"/>
                <w:szCs w:val="20"/>
                <w:rtl w:val="0"/>
              </w:rPr>
              <w:t xml:space="preserve">$511,753M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D">
            <w:pPr>
              <w:jc w:val="right"/>
              <w:rPr/>
            </w:pPr>
            <w:r w:rsidDel="00000000" w:rsidR="00000000" w:rsidRPr="00000000">
              <w:rPr>
                <w:rFonts w:ascii="Arial" w:cs="Arial" w:eastAsia="Arial" w:hAnsi="Arial"/>
                <w:sz w:val="20"/>
                <w:szCs w:val="20"/>
                <w:rtl w:val="0"/>
              </w:rPr>
              <w:t xml:space="preserve">$490,142M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E">
            <w:pPr>
              <w:jc w:val="right"/>
              <w:rPr/>
            </w:pPr>
            <w:r w:rsidDel="00000000" w:rsidR="00000000" w:rsidRPr="00000000">
              <w:rPr>
                <w:rFonts w:ascii="Arial" w:cs="Arial" w:eastAsia="Arial" w:hAnsi="Arial"/>
                <w:sz w:val="20"/>
                <w:szCs w:val="20"/>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sz w:val="20"/>
                <w:szCs w:val="20"/>
                <w:rtl w:val="0"/>
              </w:rPr>
              <w:t xml:space="preserve">Gross 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jc w:val="right"/>
              <w:rPr/>
            </w:pPr>
            <w:r w:rsidDel="00000000" w:rsidR="00000000" w:rsidRPr="00000000">
              <w:rPr>
                <w:rFonts w:ascii="Arial" w:cs="Arial" w:eastAsia="Arial" w:hAnsi="Arial"/>
                <w:sz w:val="20"/>
                <w:szCs w:val="20"/>
                <w:rtl w:val="0"/>
              </w:rPr>
              <w:t xml:space="preserve">$169,232M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jc w:val="right"/>
              <w:rPr/>
            </w:pPr>
            <w:r w:rsidDel="00000000" w:rsidR="00000000" w:rsidRPr="00000000">
              <w:rPr>
                <w:rFonts w:ascii="Arial" w:cs="Arial" w:eastAsia="Arial" w:hAnsi="Arial"/>
                <w:sz w:val="20"/>
                <w:szCs w:val="20"/>
                <w:rtl w:val="0"/>
              </w:rPr>
              <w:t xml:space="preserve">$157,983M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jc w:val="right"/>
              <w:rPr/>
            </w:pPr>
            <w:r w:rsidDel="00000000" w:rsidR="00000000" w:rsidRPr="00000000">
              <w:rPr>
                <w:rFonts w:ascii="Arial" w:cs="Arial" w:eastAsia="Arial" w:hAnsi="Arial"/>
                <w:sz w:val="20"/>
                <w:szCs w:val="20"/>
                <w:rtl w:val="0"/>
              </w:rPr>
              <w:t xml:space="preserve">+7.1%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sz w:val="20"/>
                <w:szCs w:val="20"/>
                <w:rtl w:val="0"/>
              </w:rPr>
              <w:t xml:space="preserve">Gross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4">
            <w:pPr>
              <w:jc w:val="right"/>
              <w:rPr/>
            </w:pPr>
            <w:r w:rsidDel="00000000" w:rsidR="00000000" w:rsidRPr="00000000">
              <w:rPr>
                <w:rFonts w:ascii="Arial" w:cs="Arial" w:eastAsia="Arial" w:hAnsi="Arial"/>
                <w:sz w:val="20"/>
                <w:szCs w:val="20"/>
                <w:rtl w:val="0"/>
              </w:rPr>
              <w:t xml:space="preserve">24.85%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5">
            <w:pPr>
              <w:jc w:val="right"/>
              <w:rPr/>
            </w:pPr>
            <w:r w:rsidDel="00000000" w:rsidR="00000000" w:rsidRPr="00000000">
              <w:rPr>
                <w:rFonts w:ascii="Arial" w:cs="Arial" w:eastAsia="Arial" w:hAnsi="Arial"/>
                <w:sz w:val="20"/>
                <w:szCs w:val="20"/>
                <w:rtl w:val="0"/>
              </w:rPr>
              <w:t xml:space="preserve">24.38%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6">
            <w:pPr>
              <w:jc w:val="right"/>
              <w:rPr/>
            </w:pPr>
            <w:r w:rsidDel="00000000" w:rsidR="00000000" w:rsidRPr="00000000">
              <w:rPr>
                <w:rFonts w:ascii="Arial" w:cs="Arial" w:eastAsia="Arial" w:hAnsi="Arial"/>
                <w:sz w:val="20"/>
                <w:szCs w:val="20"/>
                <w:rtl w:val="0"/>
              </w:rPr>
              <w:t xml:space="preserve">+47 bps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sz w:val="20"/>
                <w:szCs w:val="20"/>
                <w:rtl w:val="0"/>
              </w:rPr>
              <w:t xml:space="preserve">SG&amp;A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jc w:val="right"/>
              <w:rPr/>
            </w:pPr>
            <w:r w:rsidDel="00000000" w:rsidR="00000000" w:rsidRPr="00000000">
              <w:rPr>
                <w:rFonts w:ascii="Arial" w:cs="Arial" w:eastAsia="Arial" w:hAnsi="Arial"/>
                <w:sz w:val="20"/>
                <w:szCs w:val="20"/>
                <w:rtl w:val="0"/>
              </w:rPr>
              <w:t xml:space="preserve">$139,884M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jc w:val="right"/>
              <w:rPr/>
            </w:pPr>
            <w:r w:rsidDel="00000000" w:rsidR="00000000" w:rsidRPr="00000000">
              <w:rPr>
                <w:rFonts w:ascii="Arial" w:cs="Arial" w:eastAsia="Arial" w:hAnsi="Arial"/>
                <w:sz w:val="20"/>
                <w:szCs w:val="20"/>
                <w:rtl w:val="0"/>
              </w:rPr>
              <w:t xml:space="preserve">$130,971M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jc w:val="right"/>
              <w:rPr/>
            </w:pPr>
            <w:r w:rsidDel="00000000" w:rsidR="00000000" w:rsidRPr="00000000">
              <w:rPr>
                <w:rFonts w:ascii="Arial" w:cs="Arial" w:eastAsia="Arial" w:hAnsi="Arial"/>
                <w:sz w:val="20"/>
                <w:szCs w:val="20"/>
                <w:rtl w:val="0"/>
              </w:rPr>
              <w:t xml:space="preserve">+6.8%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sz w:val="20"/>
                <w:szCs w:val="20"/>
                <w:rtl w:val="0"/>
              </w:rPr>
              <w:t xml:space="preserve">Operating Income (EBIT)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C">
            <w:pPr>
              <w:jc w:val="right"/>
              <w:rPr/>
            </w:pPr>
            <w:r w:rsidDel="00000000" w:rsidR="00000000" w:rsidRPr="00000000">
              <w:rPr>
                <w:rFonts w:ascii="Arial" w:cs="Arial" w:eastAsia="Arial" w:hAnsi="Arial"/>
                <w:sz w:val="20"/>
                <w:szCs w:val="20"/>
                <w:rtl w:val="0"/>
              </w:rPr>
              <w:t xml:space="preserve">$29,348M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D">
            <w:pPr>
              <w:jc w:val="right"/>
              <w:rPr/>
            </w:pPr>
            <w:r w:rsidDel="00000000" w:rsidR="00000000" w:rsidRPr="00000000">
              <w:rPr>
                <w:rFonts w:ascii="Arial" w:cs="Arial" w:eastAsia="Arial" w:hAnsi="Arial"/>
                <w:sz w:val="20"/>
                <w:szCs w:val="20"/>
                <w:rtl w:val="0"/>
              </w:rPr>
              <w:t xml:space="preserve">$27,012M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E">
            <w:pPr>
              <w:jc w:val="right"/>
              <w:rPr/>
            </w:pPr>
            <w:r w:rsidDel="00000000" w:rsidR="00000000" w:rsidRPr="00000000">
              <w:rPr>
                <w:rFonts w:ascii="Arial" w:cs="Arial" w:eastAsia="Arial" w:hAnsi="Arial"/>
                <w:sz w:val="20"/>
                <w:szCs w:val="20"/>
                <w:rtl w:val="0"/>
              </w:rPr>
              <w:t xml:space="preserve">+8.6%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sz w:val="20"/>
                <w:szCs w:val="20"/>
                <w:rtl w:val="0"/>
              </w:rPr>
              <w:t xml:space="preserve">Operating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jc w:val="right"/>
              <w:rPr/>
            </w:pPr>
            <w:r w:rsidDel="00000000" w:rsidR="00000000" w:rsidRPr="00000000">
              <w:rPr>
                <w:rFonts w:ascii="Arial" w:cs="Arial" w:eastAsia="Arial" w:hAnsi="Arial"/>
                <w:sz w:val="20"/>
                <w:szCs w:val="20"/>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jc w:val="right"/>
              <w:rPr/>
            </w:pPr>
            <w:r w:rsidDel="00000000" w:rsidR="00000000" w:rsidRPr="00000000">
              <w:rPr>
                <w:rFonts w:ascii="Arial" w:cs="Arial" w:eastAsia="Arial" w:hAnsi="Arial"/>
                <w:sz w:val="20"/>
                <w:szCs w:val="20"/>
                <w:rtl w:val="0"/>
              </w:rPr>
              <w:t xml:space="preserve">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jc w:val="right"/>
              <w:rPr/>
            </w:pPr>
            <w:r w:rsidDel="00000000" w:rsidR="00000000" w:rsidRPr="00000000">
              <w:rPr>
                <w:rFonts w:ascii="Arial" w:cs="Arial" w:eastAsia="Arial" w:hAnsi="Arial"/>
                <w:sz w:val="20"/>
                <w:szCs w:val="20"/>
                <w:rtl w:val="0"/>
              </w:rPr>
              <w:t xml:space="preserve">+14 bps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sz w:val="20"/>
                <w:szCs w:val="20"/>
                <w:rtl w:val="0"/>
              </w:rPr>
              <w:t xml:space="preserve">EBITDA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4">
            <w:pPr>
              <w:jc w:val="right"/>
              <w:rPr/>
            </w:pPr>
            <w:r w:rsidDel="00000000" w:rsidR="00000000" w:rsidRPr="00000000">
              <w:rPr>
                <w:rFonts w:ascii="Arial" w:cs="Arial" w:eastAsia="Arial" w:hAnsi="Arial"/>
                <w:sz w:val="20"/>
                <w:szCs w:val="20"/>
                <w:rtl w:val="0"/>
              </w:rPr>
              <w:t xml:space="preserve">$42,321M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5">
            <w:pPr>
              <w:jc w:val="right"/>
              <w:rPr/>
            </w:pPr>
            <w:r w:rsidDel="00000000" w:rsidR="00000000" w:rsidRPr="00000000">
              <w:rPr>
                <w:rFonts w:ascii="Arial" w:cs="Arial" w:eastAsia="Arial" w:hAnsi="Arial"/>
                <w:sz w:val="20"/>
                <w:szCs w:val="20"/>
                <w:rtl w:val="0"/>
              </w:rPr>
              <w:t xml:space="preserve">$38,865M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6">
            <w:pPr>
              <w:jc w:val="right"/>
              <w:rPr/>
            </w:pPr>
            <w:r w:rsidDel="00000000" w:rsidR="00000000" w:rsidRPr="00000000">
              <w:rPr>
                <w:rFonts w:ascii="Arial" w:cs="Arial" w:eastAsia="Arial" w:hAnsi="Arial"/>
                <w:sz w:val="20"/>
                <w:szCs w:val="20"/>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sz w:val="20"/>
                <w:szCs w:val="20"/>
                <w:rtl w:val="0"/>
              </w:rPr>
              <w:t xml:space="preserve">Net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jc w:val="right"/>
              <w:rPr/>
            </w:pPr>
            <w:r w:rsidDel="00000000" w:rsidR="00000000" w:rsidRPr="00000000">
              <w:rPr>
                <w:rFonts w:ascii="Arial" w:cs="Arial" w:eastAsia="Arial" w:hAnsi="Arial"/>
                <w:sz w:val="20"/>
                <w:szCs w:val="20"/>
                <w:rtl w:val="0"/>
              </w:rPr>
              <w:t xml:space="preserve">$19,436M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jc w:val="right"/>
              <w:rPr/>
            </w:pPr>
            <w:r w:rsidDel="00000000" w:rsidR="00000000" w:rsidRPr="00000000">
              <w:rPr>
                <w:rFonts w:ascii="Arial" w:cs="Arial" w:eastAsia="Arial" w:hAnsi="Arial"/>
                <w:sz w:val="20"/>
                <w:szCs w:val="20"/>
                <w:rtl w:val="0"/>
              </w:rPr>
              <w:t xml:space="preserve">$15,511M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jc w:val="right"/>
              <w:rPr/>
            </w:pPr>
            <w:r w:rsidDel="00000000" w:rsidR="00000000" w:rsidRPr="00000000">
              <w:rPr>
                <w:rFonts w:ascii="Arial" w:cs="Arial" w:eastAsia="Arial" w:hAnsi="Arial"/>
                <w:sz w:val="20"/>
                <w:szCs w:val="20"/>
                <w:rtl w:val="0"/>
              </w:rPr>
              <w:t xml:space="preserve">+25.3%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sz w:val="20"/>
                <w:szCs w:val="20"/>
                <w:rtl w:val="0"/>
              </w:rPr>
              <w:t xml:space="preserve">Net Profit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C">
            <w:pPr>
              <w:jc w:val="right"/>
              <w:rPr/>
            </w:pPr>
            <w:r w:rsidDel="00000000" w:rsidR="00000000" w:rsidRPr="00000000">
              <w:rPr>
                <w:rFonts w:ascii="Arial" w:cs="Arial" w:eastAsia="Arial" w:hAnsi="Arial"/>
                <w:sz w:val="20"/>
                <w:szCs w:val="20"/>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D">
            <w:pPr>
              <w:jc w:val="right"/>
              <w:rPr/>
            </w:pPr>
            <w:r w:rsidDel="00000000" w:rsidR="00000000" w:rsidRPr="00000000">
              <w:rPr>
                <w:rFonts w:ascii="Arial" w:cs="Arial" w:eastAsia="Arial" w:hAnsi="Arial"/>
                <w:sz w:val="20"/>
                <w:szCs w:val="20"/>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4E">
            <w:pPr>
              <w:jc w:val="right"/>
              <w:rPr/>
            </w:pPr>
            <w:r w:rsidDel="00000000" w:rsidR="00000000" w:rsidRPr="00000000">
              <w:rPr>
                <w:rFonts w:ascii="Arial" w:cs="Arial" w:eastAsia="Arial" w:hAnsi="Arial"/>
                <w:sz w:val="20"/>
                <w:szCs w:val="20"/>
                <w:rtl w:val="0"/>
              </w:rPr>
              <w:t xml:space="preserve">+45 bps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sz w:val="20"/>
                <w:szCs w:val="20"/>
                <w:rtl w:val="0"/>
              </w:rPr>
              <w:t xml:space="preserve">Interest Expense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jc w:val="right"/>
              <w:rPr/>
            </w:pPr>
            <w:r w:rsidDel="00000000" w:rsidR="00000000" w:rsidRPr="00000000">
              <w:rPr>
                <w:rFonts w:ascii="Arial" w:cs="Arial" w:eastAsia="Arial" w:hAnsi="Arial"/>
                <w:sz w:val="20"/>
                <w:szCs w:val="20"/>
                <w:rtl w:val="0"/>
              </w:rPr>
              <w:t xml:space="preserve">$2,728M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jc w:val="right"/>
              <w:rPr/>
            </w:pPr>
            <w:r w:rsidDel="00000000" w:rsidR="00000000" w:rsidRPr="00000000">
              <w:rPr>
                <w:rFonts w:ascii="Arial" w:cs="Arial" w:eastAsia="Arial" w:hAnsi="Arial"/>
                <w:sz w:val="20"/>
                <w:szCs w:val="20"/>
                <w:rtl w:val="0"/>
              </w:rPr>
              <w:t xml:space="preserve">$2,683M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jc w:val="right"/>
              <w:rPr/>
            </w:pPr>
            <w:r w:rsidDel="00000000" w:rsidR="00000000" w:rsidRPr="00000000">
              <w:rPr>
                <w:rFonts w:ascii="Arial" w:cs="Arial" w:eastAsia="Arial" w:hAnsi="Arial"/>
                <w:sz w:val="20"/>
                <w:szCs w:val="20"/>
                <w:rtl w:val="0"/>
              </w:rPr>
              <w:t xml:space="preserv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sz w:val="20"/>
                <w:szCs w:val="20"/>
                <w:rtl w:val="0"/>
              </w:rPr>
              <w:t xml:space="preserve">Effective Tax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4">
            <w:pPr>
              <w:jc w:val="right"/>
              <w:rPr/>
            </w:pPr>
            <w:r w:rsidDel="00000000" w:rsidR="00000000" w:rsidRPr="00000000">
              <w:rPr>
                <w:rFonts w:ascii="Arial" w:cs="Arial" w:eastAsia="Arial" w:hAnsi="Arial"/>
                <w:sz w:val="20"/>
                <w:szCs w:val="20"/>
                <w:rtl w:val="0"/>
              </w:rPr>
              <w:t xml:space="preserve">23.38%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5">
            <w:pPr>
              <w:jc w:val="right"/>
              <w:rPr/>
            </w:pPr>
            <w:r w:rsidDel="00000000" w:rsidR="00000000" w:rsidRPr="00000000">
              <w:rPr>
                <w:rFonts w:ascii="Arial" w:cs="Arial" w:eastAsia="Arial" w:hAnsi="Arial"/>
                <w:sz w:val="20"/>
                <w:szCs w:val="20"/>
                <w:rtl w:val="0"/>
              </w:rPr>
              <w:t xml:space="preserve">25.53%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6">
            <w:pPr>
              <w:jc w:val="right"/>
              <w:rPr/>
            </w:pPr>
            <w:r w:rsidDel="00000000" w:rsidR="00000000" w:rsidRPr="00000000">
              <w:rPr>
                <w:rFonts w:ascii="Arial" w:cs="Arial" w:eastAsia="Arial" w:hAnsi="Arial"/>
                <w:sz w:val="20"/>
                <w:szCs w:val="20"/>
                <w:rtl w:val="0"/>
              </w:rPr>
              <w:t xml:space="preserve">-215 bps</w:t>
            </w:r>
            <w:r w:rsidDel="00000000" w:rsidR="00000000" w:rsidRPr="00000000">
              <w:rPr>
                <w:rtl w:val="0"/>
              </w:rPr>
            </w:r>
          </w:p>
        </w:tc>
      </w:tr>
    </w:tbl>
    <w:p w:rsidR="00000000" w:rsidDel="00000000" w:rsidP="00000000" w:rsidRDefault="00000000" w:rsidRPr="00000000" w14:paraId="00000057">
      <w:pPr>
        <w:spacing w:after="40" w:before="160" w:lineRule="auto"/>
        <w:rPr/>
      </w:pPr>
      <w:r w:rsidDel="00000000" w:rsidR="00000000" w:rsidRPr="00000000">
        <w:rPr>
          <w:rFonts w:ascii="Arial" w:cs="Arial" w:eastAsia="Arial" w:hAnsi="Arial"/>
          <w:b w:val="1"/>
          <w:bCs w:val="1"/>
          <w:color w:val="1f4e79"/>
          <w:sz w:val="22"/>
          <w:szCs w:val="22"/>
          <w:rtl w:val="0"/>
        </w:rPr>
        <w:t xml:space="preserve">Balance Sheet (as of January 31, 2025)</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760"/>
        <w:gridCol w:w="2400"/>
        <w:tblGridChange w:id="0">
          <w:tblGrid>
            <w:gridCol w:w="4200"/>
            <w:gridCol w:w="27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FY2025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sz w:val="20"/>
                <w:szCs w:val="20"/>
                <w:rtl w:val="0"/>
              </w:rPr>
              <w:t xml:space="preserve">Cash &amp; Cash Equivalents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jc w:val="right"/>
              <w:rPr/>
            </w:pPr>
            <w:r w:rsidDel="00000000" w:rsidR="00000000" w:rsidRPr="00000000">
              <w:rPr>
                <w:rFonts w:ascii="Arial" w:cs="Arial" w:eastAsia="Arial" w:hAnsi="Arial"/>
                <w:sz w:val="20"/>
                <w:szCs w:val="20"/>
                <w:rtl w:val="0"/>
              </w:rPr>
              <w:t xml:space="preserve">$9,300M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sz w:val="20"/>
                <w:szCs w:val="20"/>
                <w:rtl w:val="0"/>
              </w:rPr>
              <w:t xml:space="preserve">Inventories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F">
            <w:pPr>
              <w:jc w:val="right"/>
              <w:rPr/>
            </w:pPr>
            <w:r w:rsidDel="00000000" w:rsidR="00000000" w:rsidRPr="00000000">
              <w:rPr>
                <w:rFonts w:ascii="Arial" w:cs="Arial" w:eastAsia="Arial" w:hAnsi="Arial"/>
                <w:sz w:val="20"/>
                <w:szCs w:val="20"/>
                <w:rtl w:val="0"/>
              </w:rPr>
              <w:t xml:space="preserve">$56,435M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0">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sz w:val="20"/>
                <w:szCs w:val="20"/>
                <w:rtl w:val="0"/>
              </w:rPr>
              <w:t xml:space="preserve">Receivables,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jc w:val="right"/>
              <w:rPr/>
            </w:pPr>
            <w:r w:rsidDel="00000000" w:rsidR="00000000" w:rsidRPr="00000000">
              <w:rPr>
                <w:rFonts w:ascii="Arial" w:cs="Arial" w:eastAsia="Arial" w:hAnsi="Arial"/>
                <w:sz w:val="20"/>
                <w:szCs w:val="20"/>
                <w:rtl w:val="0"/>
              </w:rPr>
              <w:t xml:space="preserve">$8,796M (FY24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sz w:val="20"/>
                <w:szCs w:val="20"/>
                <w:rtl w:val="0"/>
              </w:rPr>
              <w:t xml:space="preserve">Total Current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5">
            <w:pPr>
              <w:jc w:val="right"/>
              <w:rPr/>
            </w:pPr>
            <w:r w:rsidDel="00000000" w:rsidR="00000000" w:rsidRPr="00000000">
              <w:rPr>
                <w:rFonts w:ascii="Arial" w:cs="Arial" w:eastAsia="Arial" w:hAnsi="Arial"/>
                <w:sz w:val="20"/>
                <w:szCs w:val="20"/>
                <w:rtl w:val="0"/>
              </w:rPr>
              <w:t xml:space="preserve">$79,458M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6">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sz w:val="20"/>
                <w:szCs w:val="20"/>
                <w:rtl w:val="0"/>
              </w:rPr>
              <w:t xml:space="preserve">Total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jc w:val="right"/>
              <w:rPr/>
            </w:pPr>
            <w:r w:rsidDel="00000000" w:rsidR="00000000" w:rsidRPr="00000000">
              <w:rPr>
                <w:rFonts w:ascii="Arial" w:cs="Arial" w:eastAsia="Arial" w:hAnsi="Arial"/>
                <w:sz w:val="20"/>
                <w:szCs w:val="20"/>
                <w:rtl w:val="0"/>
              </w:rPr>
              <w:t xml:space="preserve">$252,399M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sz w:val="20"/>
                <w:szCs w:val="20"/>
                <w:rtl w:val="0"/>
              </w:rPr>
              <w:t xml:space="preserve">Total Current Liabilities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B">
            <w:pPr>
              <w:jc w:val="right"/>
              <w:rPr/>
            </w:pPr>
            <w:r w:rsidDel="00000000" w:rsidR="00000000" w:rsidRPr="00000000">
              <w:rPr>
                <w:rFonts w:ascii="Arial" w:cs="Arial" w:eastAsia="Arial" w:hAnsi="Arial"/>
                <w:sz w:val="20"/>
                <w:szCs w:val="20"/>
                <w:rtl w:val="0"/>
              </w:rPr>
              <w:t xml:space="preserve">$92,415M (FY24)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C">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sz w:val="20"/>
                <w:szCs w:val="20"/>
                <w:rtl w:val="0"/>
              </w:rPr>
              <w:t xml:space="preserve">Long-Term Debt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jc w:val="right"/>
              <w:rPr/>
            </w:pPr>
            <w:r w:rsidDel="00000000" w:rsidR="00000000" w:rsidRPr="00000000">
              <w:rPr>
                <w:rFonts w:ascii="Arial" w:cs="Arial" w:eastAsia="Arial" w:hAnsi="Arial"/>
                <w:sz w:val="20"/>
                <w:szCs w:val="20"/>
                <w:rtl w:val="0"/>
              </w:rPr>
              <w:t xml:space="preserve">$36,500M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sz w:val="20"/>
                <w:szCs w:val="20"/>
                <w:rtl w:val="0"/>
              </w:rPr>
              <w:t xml:space="preserve">Total Equity (Walmart)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1">
            <w:pPr>
              <w:jc w:val="right"/>
              <w:rPr/>
            </w:pPr>
            <w:r w:rsidDel="00000000" w:rsidR="00000000" w:rsidRPr="00000000">
              <w:rPr>
                <w:rFonts w:ascii="Arial" w:cs="Arial" w:eastAsia="Arial" w:hAnsi="Arial"/>
                <w:sz w:val="20"/>
                <w:szCs w:val="20"/>
                <w:rtl w:val="0"/>
              </w:rPr>
              <w:t xml:space="preserve">$83,861M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2">
            <w:pPr>
              <w:jc w:val="righ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20"/>
                <w:szCs w:val="20"/>
                <w:rtl w:val="0"/>
              </w:rPr>
              <w:t xml:space="preserve">Shares Outstanding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jc w:val="right"/>
              <w:rPr/>
            </w:pPr>
            <w:r w:rsidDel="00000000" w:rsidR="00000000" w:rsidRPr="00000000">
              <w:rPr>
                <w:rFonts w:ascii="Arial" w:cs="Arial" w:eastAsia="Arial" w:hAnsi="Arial"/>
                <w:sz w:val="20"/>
                <w:szCs w:val="20"/>
                <w:rtl w:val="0"/>
              </w:rPr>
              <w:t xml:space="preserve">~8,081M (diluted)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jc w:val="right"/>
              <w:rPr/>
            </w:pPr>
            <w:r w:rsidDel="00000000" w:rsidR="00000000" w:rsidRPr="00000000">
              <w:rPr>
                <w:rtl w:val="0"/>
              </w:rPr>
            </w:r>
          </w:p>
        </w:tc>
      </w:tr>
    </w:tbl>
    <w:p w:rsidR="00000000" w:rsidDel="00000000" w:rsidP="00000000" w:rsidRDefault="00000000" w:rsidRPr="00000000" w14:paraId="00000076">
      <w:pPr>
        <w:spacing w:after="40" w:before="160" w:lineRule="auto"/>
        <w:rPr/>
      </w:pPr>
      <w:r w:rsidDel="00000000" w:rsidR="00000000" w:rsidRPr="00000000">
        <w:rPr>
          <w:rFonts w:ascii="Arial" w:cs="Arial" w:eastAsia="Arial" w:hAnsi="Arial"/>
          <w:b w:val="1"/>
          <w:bCs w:val="1"/>
          <w:color w:val="1f4e79"/>
          <w:sz w:val="22"/>
          <w:szCs w:val="22"/>
          <w:rtl w:val="0"/>
        </w:rPr>
        <w:t xml:space="preserve">Cash Flow Statement</w:t>
      </w: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90"/>
        <w:gridCol w:w="1890"/>
        <w:gridCol w:w="1380"/>
        <w:tblGridChange w:id="0">
          <w:tblGrid>
            <w:gridCol w:w="3200"/>
            <w:gridCol w:w="1890"/>
            <w:gridCol w:w="1890"/>
            <w:gridCol w:w="1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FY2025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FY2024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YoY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sz w:val="20"/>
                <w:szCs w:val="20"/>
                <w:rtl w:val="0"/>
              </w:rPr>
              <w:t xml:space="preserve">Cash from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jc w:val="right"/>
              <w:rPr/>
            </w:pPr>
            <w:r w:rsidDel="00000000" w:rsidR="00000000" w:rsidRPr="00000000">
              <w:rPr>
                <w:rFonts w:ascii="Arial" w:cs="Arial" w:eastAsia="Arial" w:hAnsi="Arial"/>
                <w:sz w:val="20"/>
                <w:szCs w:val="20"/>
                <w:rtl w:val="0"/>
              </w:rPr>
              <w:t xml:space="preserve">$36,400M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jc w:val="right"/>
              <w:rPr/>
            </w:pPr>
            <w:r w:rsidDel="00000000" w:rsidR="00000000" w:rsidRPr="00000000">
              <w:rPr>
                <w:rFonts w:ascii="Arial" w:cs="Arial" w:eastAsia="Arial" w:hAnsi="Arial"/>
                <w:sz w:val="20"/>
                <w:szCs w:val="20"/>
                <w:rtl w:val="0"/>
              </w:rPr>
              <w:t xml:space="preserve">$35,726M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jc w:val="right"/>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20"/>
                <w:szCs w:val="20"/>
                <w:rtl w:val="0"/>
              </w:rPr>
              <w:t xml:space="preserve">Capital Expenditures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jc w:val="right"/>
              <w:rPr/>
            </w:pPr>
            <w:r w:rsidDel="00000000" w:rsidR="00000000" w:rsidRPr="00000000">
              <w:rPr>
                <w:rFonts w:ascii="Arial" w:cs="Arial" w:eastAsia="Arial" w:hAnsi="Arial"/>
                <w:sz w:val="20"/>
                <w:szCs w:val="20"/>
                <w:rtl w:val="0"/>
              </w:rPr>
              <w:t xml:space="preserve">$23,700M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1">
            <w:pPr>
              <w:jc w:val="right"/>
              <w:rPr/>
            </w:pPr>
            <w:r w:rsidDel="00000000" w:rsidR="00000000" w:rsidRPr="00000000">
              <w:rPr>
                <w:rFonts w:ascii="Arial" w:cs="Arial" w:eastAsia="Arial" w:hAnsi="Arial"/>
                <w:sz w:val="20"/>
                <w:szCs w:val="20"/>
                <w:rtl w:val="0"/>
              </w:rPr>
              <w:t xml:space="preserve">$20,606M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2">
            <w:pPr>
              <w:jc w:val="right"/>
              <w:rPr/>
            </w:pPr>
            <w:r w:rsidDel="00000000" w:rsidR="00000000" w:rsidRPr="00000000">
              <w:rPr>
                <w:rFonts w:ascii="Arial" w:cs="Arial" w:eastAsia="Arial" w:hAnsi="Arial"/>
                <w:sz w:val="20"/>
                <w:szCs w:val="20"/>
                <w:rtl w:val="0"/>
              </w:rPr>
              <w:t xml:space="preserve">+15.0%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sz w:val="20"/>
                <w:szCs w:val="20"/>
                <w:rtl w:val="0"/>
              </w:rPr>
              <w:t xml:space="preserve">Free Cash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jc w:val="right"/>
              <w:rPr/>
            </w:pPr>
            <w:r w:rsidDel="00000000" w:rsidR="00000000" w:rsidRPr="00000000">
              <w:rPr>
                <w:rFonts w:ascii="Arial" w:cs="Arial" w:eastAsia="Arial" w:hAnsi="Arial"/>
                <w:sz w:val="20"/>
                <w:szCs w:val="20"/>
                <w:rtl w:val="0"/>
              </w:rPr>
              <w:t xml:space="preserve">$12,660M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jc w:val="right"/>
              <w:rPr/>
            </w:pPr>
            <w:r w:rsidDel="00000000" w:rsidR="00000000" w:rsidRPr="00000000">
              <w:rPr>
                <w:rFonts w:ascii="Arial" w:cs="Arial" w:eastAsia="Arial" w:hAnsi="Arial"/>
                <w:sz w:val="20"/>
                <w:szCs w:val="20"/>
                <w:rtl w:val="0"/>
              </w:rPr>
              <w:t xml:space="preserve">$15,120M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jc w:val="right"/>
              <w:rPr/>
            </w:pPr>
            <w:r w:rsidDel="00000000" w:rsidR="00000000" w:rsidRPr="00000000">
              <w:rPr>
                <w:rFonts w:ascii="Arial" w:cs="Arial" w:eastAsia="Arial" w:hAnsi="Arial"/>
                <w:sz w:val="20"/>
                <w:szCs w:val="20"/>
                <w:rtl w:val="0"/>
              </w:rPr>
              <w:t xml:space="preserve">-16.3%</w:t>
            </w:r>
            <w:r w:rsidDel="00000000" w:rsidR="00000000" w:rsidRPr="00000000">
              <w:rPr>
                <w:rtl w:val="0"/>
              </w:rPr>
            </w:r>
          </w:p>
        </w:tc>
      </w:tr>
    </w:tbl>
    <w:p w:rsidR="00000000" w:rsidDel="00000000" w:rsidP="00000000" w:rsidRDefault="00000000" w:rsidRPr="00000000" w14:paraId="00000087">
      <w:pPr>
        <w:spacing w:after="0" w:before="200" w:lineRule="auto"/>
        <w:rPr/>
      </w:pPr>
      <w:r w:rsidDel="00000000" w:rsidR="00000000" w:rsidRPr="00000000">
        <w:rPr>
          <w:rtl w:val="0"/>
        </w:rPr>
      </w:r>
    </w:p>
    <w:p w:rsidR="00000000" w:rsidDel="00000000" w:rsidP="00000000" w:rsidRDefault="00000000" w:rsidRPr="00000000" w14:paraId="00000088">
      <w:pPr>
        <w:pBdr>
          <w:bottom w:color="2e75b6" w:space="1" w:sz="6" w:val="single"/>
        </w:pBdr>
        <w:spacing w:after="120" w:before="320" w:lineRule="auto"/>
        <w:rPr/>
      </w:pPr>
      <w:r w:rsidDel="00000000" w:rsidR="00000000" w:rsidRPr="00000000">
        <w:rPr>
          <w:rFonts w:ascii="Arial" w:cs="Arial" w:eastAsia="Arial" w:hAnsi="Arial"/>
          <w:b w:val="1"/>
          <w:bCs w:val="1"/>
          <w:color w:val="1f4e79"/>
          <w:sz w:val="36"/>
          <w:szCs w:val="36"/>
          <w:rtl w:val="0"/>
        </w:rPr>
        <w:t xml:space="preserve">Approach</w:t>
      </w:r>
      <w:r w:rsidDel="00000000" w:rsidR="00000000" w:rsidRPr="00000000">
        <w:rPr>
          <w:rtl w:val="0"/>
        </w:rPr>
      </w:r>
    </w:p>
    <w:p w:rsidR="00000000" w:rsidDel="00000000" w:rsidP="00000000" w:rsidRDefault="00000000" w:rsidRPr="00000000" w14:paraId="00000089">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The analysis will draw directly from Walmart's FY2025 Form 10-K filed with the SEC on or around February 20, 2025. Income statement, balance sheet, and cash flow statement data will be extracted and entered into a structured Excel model using standardized named ranges (e.g., INC_sales, BAL_assets_total_FY25) to ensure auditability and reproducibility.</w:t>
      </w:r>
      <w:r w:rsidDel="00000000" w:rsidR="00000000" w:rsidRPr="00000000">
        <w:rPr>
          <w:rtl w:val="0"/>
        </w:rPr>
      </w:r>
    </w:p>
    <w:p w:rsidR="00000000" w:rsidDel="00000000" w:rsidP="00000000" w:rsidRDefault="00000000" w:rsidRPr="00000000" w14:paraId="0000008A">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Market and analyst inputs — including share price, shares outstanding, cost of capital (WACC), and effective tax rate — will be sourced from the 10-K and supplemented by market data as of a consistent reference date near fiscal year-end. The following ratio categories will be computed: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Ratios: Market Value Added (MVA), Economic Value Added (EVA), Return on Assets (ROA), Return on Capital (ROC), Return on Equity (ROE) — calculated both on start-of-year and average-denominator bases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Profitability Ratios: Gross margin, operating margin, net profit margin, and Du Pont decomposition (ROA = Asset Turnover × Operating Profit Margin; ROE = Leverage × Asset Turnover × Operating Profit Margin × Debt Burden)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 Ratios: Asset turnover, receivables turnover, inventory turnover, and related days-outstanding metrics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Leverage Ratios: Long-term debt ratio, debt-to-equity, total debt ratio, times interest earned, cash coverage, and leverage ratio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Liquidity Ratios: Net working capital to assets, current ratio, quick ratio, and cash ratio</w:t>
      </w:r>
    </w:p>
    <w:p w:rsidR="00000000" w:rsidDel="00000000" w:rsidP="00000000" w:rsidRDefault="00000000" w:rsidRPr="00000000" w14:paraId="00000090">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All inputs will be documented in a technical specification (Stage 3) with named-range pseudocode and a step-by-step calculation flow. The Excel model will produce a summary ratio table, Du Pont decomposition, and formula documentation column — feeding directly into the Stage 4 AI-assisted analysis and Stage 5 executive report.</w:t>
      </w:r>
      <w:r w:rsidDel="00000000" w:rsidR="00000000" w:rsidRPr="00000000">
        <w:rPr>
          <w:rtl w:val="0"/>
        </w:rPr>
      </w:r>
    </w:p>
    <w:p w:rsidR="00000000" w:rsidDel="00000000" w:rsidP="00000000" w:rsidRDefault="00000000" w:rsidRPr="00000000" w14:paraId="00000091">
      <w:pPr>
        <w:spacing w:after="0" w:before="200" w:lineRule="auto"/>
        <w:rPr/>
      </w:pPr>
      <w:r w:rsidDel="00000000" w:rsidR="00000000" w:rsidRPr="00000000">
        <w:rPr>
          <w:rtl w:val="0"/>
        </w:rPr>
      </w:r>
    </w:p>
    <w:p w:rsidR="00000000" w:rsidDel="00000000" w:rsidP="00000000" w:rsidRDefault="00000000" w:rsidRPr="00000000" w14:paraId="00000092">
      <w:pPr>
        <w:pBdr>
          <w:bottom w:color="2e75b6" w:space="1" w:sz="6" w:val="single"/>
        </w:pBdr>
        <w:spacing w:after="120" w:before="320" w:lineRule="auto"/>
        <w:rPr/>
      </w:pPr>
      <w:r w:rsidDel="00000000" w:rsidR="00000000" w:rsidRPr="00000000">
        <w:rPr>
          <w:rFonts w:ascii="Arial" w:cs="Arial" w:eastAsia="Arial" w:hAnsi="Arial"/>
          <w:b w:val="1"/>
          <w:bCs w:val="1"/>
          <w:color w:val="1f4e79"/>
          <w:sz w:val="36"/>
          <w:szCs w:val="36"/>
          <w:rtl w:val="0"/>
        </w:rPr>
        <w:t xml:space="preserve">Limitations &amp; Next Steps</w:t>
      </w:r>
      <w:r w:rsidDel="00000000" w:rsidR="00000000" w:rsidRPr="00000000">
        <w:rPr>
          <w:rtl w:val="0"/>
        </w:rPr>
      </w:r>
    </w:p>
    <w:p w:rsidR="00000000" w:rsidDel="00000000" w:rsidP="00000000" w:rsidRDefault="00000000" w:rsidRPr="00000000" w14:paraId="00000093">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This memo and the planned ratio analysis are subject to the following constraints: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Single-year scope: The primary analysis covers FY2025. Year-over-year comparisons will be made where prior-year balance sheet data is available, but multi-year trend analysis across three or more fiscal years is reserved for a future phase.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peer benchmarking: Industry comparisons against Walmart's competitors (e.g., Target, Costco, Amazon) are not included in this phase. Absolute ratio values will be interpreted relative to Walmart's own history.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Off-balance-sheet items excluded: Operating lease obligations are partially reflected in the balance sheet following ASC 842 adoption, but any remaining off-balance-sheet arrangements, contingent liabilities, or variable-interest entities are not incorporated.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of capital estimate: WACC will be approximated based on publicly available inputs and stated assumptions rather than a full bottom-up WACC build.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sheet averages: Start-of-year values for denominators (e.g., total assets, equity) will use FY2024 ending balance sheet data, which may differ slightly from restated figures if Walmart issued any restatements.</w:t>
      </w:r>
    </w:p>
    <w:p w:rsidR="00000000" w:rsidDel="00000000" w:rsidP="00000000" w:rsidRDefault="00000000" w:rsidRPr="00000000" w14:paraId="00000099">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Immediate next steps: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 Technical Specification: Document all named ranges, input variables, assumptions, and the full calculation flow in a structured spec that serves as the blueprint for the Excel model build.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 Excel Model Build: Construct the model using the spec, compute all 25+ ratios, and validate Du Pont decomposition against direct ROA and ROE calculations.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 — AI-Assisted Analysis &amp; Executive Report: Interpret ratio results for senior management, drawing on the structured outputs from Stage 4 and benchmarking observations.</w:t>
      </w:r>
    </w:p>
    <w:p w:rsidR="00000000" w:rsidDel="00000000" w:rsidP="00000000" w:rsidRDefault="00000000" w:rsidRPr="00000000" w14:paraId="0000009D">
      <w:pPr>
        <w:spacing w:after="0" w:before="200" w:lineRule="auto"/>
        <w:rPr/>
      </w:pPr>
      <w:r w:rsidDel="00000000" w:rsidR="00000000" w:rsidRPr="00000000">
        <w:rPr>
          <w:rtl w:val="0"/>
        </w:rPr>
      </w:r>
    </w:p>
    <w:p w:rsidR="00000000" w:rsidDel="00000000" w:rsidP="00000000" w:rsidRDefault="00000000" w:rsidRPr="00000000" w14:paraId="0000009E">
      <w:pPr>
        <w:pBdr>
          <w:bottom w:color="2e75b6" w:space="1" w:sz="6" w:val="single"/>
        </w:pBdr>
        <w:spacing w:after="120" w:before="320" w:lineRule="auto"/>
        <w:rPr/>
      </w:pPr>
      <w:r w:rsidDel="00000000" w:rsidR="00000000" w:rsidRPr="00000000">
        <w:rPr>
          <w:rFonts w:ascii="Arial" w:cs="Arial" w:eastAsia="Arial" w:hAnsi="Arial"/>
          <w:b w:val="1"/>
          <w:bCs w:val="1"/>
          <w:color w:val="1f4e79"/>
          <w:sz w:val="36"/>
          <w:szCs w:val="36"/>
          <w:rtl w:val="0"/>
        </w:rPr>
        <w:t xml:space="preserve">References</w:t>
      </w:r>
      <w:r w:rsidDel="00000000" w:rsidR="00000000" w:rsidRPr="00000000">
        <w:rPr>
          <w:rtl w:val="0"/>
        </w:rPr>
      </w:r>
    </w:p>
    <w:p w:rsidR="00000000" w:rsidDel="00000000" w:rsidP="00000000" w:rsidRDefault="00000000" w:rsidRPr="00000000" w14:paraId="0000009F">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Walmart Inc. (2025). Walmart fiscal year 2025 Q4 earnings release (Form 8-K, Exhibit 99.1). U.S. Securities and Exchange Commission. https://stock.walmart.com/sec-filings/all-sec-filings/content/0000104169-25-000010/earningsreleasefy25q4.htm</w:t>
      </w:r>
      <w:r w:rsidDel="00000000" w:rsidR="00000000" w:rsidRPr="00000000">
        <w:rPr>
          <w:rtl w:val="0"/>
        </w:rPr>
      </w:r>
    </w:p>
    <w:p w:rsidR="00000000" w:rsidDel="00000000" w:rsidP="00000000" w:rsidRDefault="00000000" w:rsidRPr="00000000" w14:paraId="000000A0">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Walmart Inc. (2025). Walmart 2025 Annual Report and Proxy Statement. Walmart Corporate. https://corporate.walmart.com/news/2025/04/24/walmart-releases-2025-annual-report-and-proxy-statement</w:t>
      </w:r>
      <w:r w:rsidDel="00000000" w:rsidR="00000000" w:rsidRPr="00000000">
        <w:rPr>
          <w:rtl w:val="0"/>
        </w:rPr>
      </w:r>
    </w:p>
    <w:p w:rsidR="00000000" w:rsidDel="00000000" w:rsidP="00000000" w:rsidRDefault="00000000" w:rsidRPr="00000000" w14:paraId="000000A1">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Stock Analysis. (2025). Walmart (WMT) income statement — annual financials. https://stockanalysis.com/stocks/wmt/financials/</w:t>
      </w:r>
      <w:r w:rsidDel="00000000" w:rsidR="00000000" w:rsidRPr="00000000">
        <w:rPr>
          <w:rtl w:val="0"/>
        </w:rPr>
      </w:r>
    </w:p>
    <w:p w:rsidR="00000000" w:rsidDel="00000000" w:rsidP="00000000" w:rsidRDefault="00000000" w:rsidRPr="00000000" w14:paraId="000000A2">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Stock Titan. (2025). Walmart (WMT) financials: Income statement, balance sheet &amp; cash flow. https://www.stocktitan.net/financials/WMT/</w:t>
      </w:r>
      <w:r w:rsidDel="00000000" w:rsidR="00000000" w:rsidRPr="00000000">
        <w:rPr>
          <w:rtl w:val="0"/>
        </w:rPr>
      </w:r>
    </w:p>
    <w:p w:rsidR="00000000" w:rsidDel="00000000" w:rsidP="00000000" w:rsidRDefault="00000000" w:rsidRPr="00000000" w14:paraId="000000A3">
      <w:pPr>
        <w:spacing w:after="100" w:before="60" w:lineRule="auto"/>
        <w:rPr/>
      </w:pPr>
      <w:r w:rsidDel="00000000" w:rsidR="00000000" w:rsidRPr="00000000">
        <w:rPr>
          <w:rFonts w:ascii="Arial" w:cs="Arial" w:eastAsia="Arial" w:hAnsi="Arial"/>
          <w:b w:val="0"/>
          <w:bCs w:val="0"/>
          <w:i w:val="0"/>
          <w:iCs w:val="0"/>
          <w:color w:val="000000"/>
          <w:sz w:val="22"/>
          <w:szCs w:val="22"/>
          <w:rtl w:val="0"/>
        </w:rPr>
        <w:t xml:space="preserve">U.S. Securities and Exchange Commission. (2024). Walmart Inc. Form 10-K for fiscal year ended January 31, 2024. EDGAR. https://www.sec.gov/Archives/edgar/data/0000104169/000010416924000056/Financial_Report.xlsx</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3D3wzSPHAnzBFZT3+WzVeWlNkA==">CgMxLjA4AHIhMTF4NWs2T2dCVUlsNEcxRy0wdFRrN1l4UzdjVGdZWXIx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2026-04-01T20:32:11.705Z</dcterms:created>
  <dc:creator>Un-named</dc:creator>
</cp:coreProperties>
</file>

<file path=docProps/custom.xml><?xml version="1.0" encoding="utf-8"?>
<Properties xmlns="http://schemas.openxmlformats.org/officeDocument/2006/custom-properties" xmlns:vt="http://schemas.openxmlformats.org/officeDocument/2006/docPropsVTypes"/>
</file>