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c49370ef383d44fa"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a8b232a9f6c84983"/>
                    <a:stretch>
                      <a:fillRect/>
                    </a:stretch>
                  </pic:blipFill>
                  <pic:spPr>
                    <a:xfrm>
                      <a:off x="0" y="0"/>
                      <a:ext cx="7560000" cy="10692000"/>
                    </a:xfrm>
                    <a:prstGeom prst="rect"/>
                  </pic:spPr>
                </pic:pic>
              </a:graphicData>
            </a:graphic>
          </wp:anchor>
        </w:drawing>
      </w:r>
    </w:p>
    <w:p>
      <w:pPr>
        <w:spacing w:before="4000"/>
      </w:pPr>
      <w:r/>
    </w:p>
    <w:p>
      <w:pPr>
        <w:spacing w:after="200"/>
        <w:ind w:left="1200" w:right="1200"/>
        <w:jc w:val="left"/>
      </w:pPr>
      <w:r>
        <w:rPr>
          <w:b/>
          <w:color w:val="1a365d"/>
          <w:sz w:val="64"/>
        </w:rPr>
        <w:t>TRABAJO DE GRADO</w:t>
      </w:r>
    </w:p>
    <w:p>
      <w:pPr>
        <w:spacing w:after="600"/>
        <w:ind w:left="1200" w:right="1200"/>
        <w:jc w:val="left"/>
      </w:pPr>
      <w:r>
        <w:rPr>
          <w:b/>
          <w:color w:val="1a365d"/>
          <w:sz w:val="72"/>
        </w:rPr>
        <w:t>PROPUESTA DE TESIS</w:t>
      </w:r>
    </w:p>
    <w:p>
      <w:pPr>
        <w:spacing w:after="400"/>
        <w:ind w:left="1200" w:right="1200"/>
        <w:jc w:val="left"/>
      </w:pPr>
      <w:r>
        <w:rPr>
          <w:color w:val="c9a227"/>
          <w:sz w:val="28"/>
        </w:rPr>
        <w:t>Gemelo Digital del SIN Colombiano: Integracion del Indice Oceanico del Nino (ONI) en un Agente de Physics-Informed Deep Reinforcement Learning con el Cuarteto Tecnologico Chino para la Optimizacion del Despacho Multirecurso</w:t>
      </w:r>
    </w:p>
    <w:p>
      <w:pPr>
        <w:spacing w:after="2000"/>
        <w:ind w:left="1200" w:right="1200"/>
        <w:jc w:val="left"/>
      </w:pPr>
      <w:r>
        <w:rPr>
          <w:i/>
          <w:color w:val="475569"/>
          <w:sz w:val="24"/>
        </w:rPr>
        <w:t>Evaluacion de Resiliencia ante Perturbaciones Climaticas Extremas y su Aplicacion para la Seguridad Energetica Nacional</w:t>
      </w:r>
    </w:p>
    <w:p>
      <w:pPr>
        <w:spacing w:after="120"/>
        <w:ind w:left="1200"/>
        <w:jc w:val="left"/>
      </w:pPr>
      <w:r>
        <w:rPr>
          <w:b/>
          <w:color w:val="1e293b"/>
          <w:sz w:val="22"/>
        </w:rPr>
        <w:t>Programa de Fisica</w:t>
      </w:r>
    </w:p>
    <w:p>
      <w:pPr>
        <w:spacing w:after="120"/>
        <w:ind w:left="1200"/>
        <w:jc w:val="left"/>
      </w:pPr>
      <w:r>
        <w:rPr>
          <w:color w:val="94a3b8"/>
          <w:sz w:val="20"/>
        </w:rPr>
        <w:t>Linea de Investigacion: Fisica Estadistica de No-Equilibrio y Sistemas Complejos</w:t>
      </w:r>
    </w:p>
    <w:p>
      <w:pPr>
        <w:spacing w:after="120"/>
        <w:ind w:left="1200"/>
        <w:jc w:val="left"/>
      </w:pPr>
      <w:r>
        <w:rPr>
          <w:color w:val="94a3b8"/>
          <w:sz w:val="20"/>
        </w:rPr>
        <w:t>Codigo del Proyecto: ENERTRACE-SIN</w:t>
      </w:r>
    </w:p>
    <w:p>
      <w:pPr>
        <w:ind w:left="1200"/>
        <w:jc w:val="left"/>
      </w:pPr>
      <w:r>
        <w:rPr>
          <w:color w:val="94a3b8"/>
          <w:sz w:val="18"/>
        </w:rPr>
        <w:t>Marzo 2026 - Version Definitiva 1.0</w:t>
      </w:r>
    </w:p>
    <w:p>
      <w:pPr>
        <w:sectPr>
          <w:type w:val="nextPage"/>
          <w:pgSz w:w="11906" w:h="16838"/>
          <w:pgMar w:top="0" w:right="0" w:bottom="0" w:left="0" w:header="0" w:footer="0"/>
        </w:sectPr>
      </w:pPr>
    </w:p>
    <w:p>
      <w:pPr>
        <w:pStyle w:val="Heading1"/>
      </w:pPr>
      <w:bookmarkStart w:name="_Toc000" w:id="0"/>
      <w:r>
        <w:t>Tabla de Contenidos</w:t>
      </w:r>
      <w:bookmarkEnd w:id="0"/>
    </w:p>
    <w:p>
      <w:pPr>
        <w:spacing w:after="300"/>
      </w:pPr>
      <w:r>
        <w:rPr>
          <w:color w:val="94a3b8"/>
          <w:sz w:val="20"/>
        </w:rPr>
        <w:t>(Clic derecho y seleccionar 'Actualizar campo' para refrescar numeros de pagina)</w:t>
      </w:r>
    </w:p>
    <w:p>
      <w:r>
        <w:fldChar w:fldCharType="begin"/>
      </w:r>
      <w:r>
        <w:instrText xml:space="preserve"> TOC \o "1-3" \h \z \u </w:instrText>
      </w:r>
      <w:r>
        <w:fldChar w:fldCharType="separate"/>
      </w:r>
    </w:p>
    <w:p>
      <w:pPr>
        <w:pStyle w:val="TOC1"/>
      </w:pPr>
      <w:r>
        <w:t>Introduccion y Planteamiento del Problema</w:t>
      </w:r>
      <w:r>
        <w:tab/>
      </w:r>
      <w:r>
        <w:t>3</w:t>
      </w:r>
    </w:p>
    <w:p>
      <w:pPr>
        <w:pStyle w:val="TOC1"/>
      </w:pPr>
      <w:r>
        <w:t>Marco Teorico</w:t>
      </w:r>
      <w:r>
        <w:tab/>
      </w:r>
      <w:r>
        <w:t>6</w:t>
      </w:r>
    </w:p>
    <w:p>
      <w:pPr>
        <w:pStyle w:val="TOC2"/>
      </w:pPr>
      <w:r>
        <w:t>Fisica de Sistemas Complejos Aplicada al SIN</w:t>
      </w:r>
      <w:r>
        <w:tab/>
      </w:r>
      <w:r>
        <w:t>6</w:t>
      </w:r>
    </w:p>
    <w:p>
      <w:pPr>
        <w:pStyle w:val="TOC2"/>
      </w:pPr>
      <w:r>
        <w:t>El Fenomeno ENSO como Variable de Estado</w:t>
      </w:r>
      <w:r>
        <w:tab/>
      </w:r>
      <w:r>
        <w:t>8</w:t>
      </w:r>
    </w:p>
    <w:p>
      <w:pPr>
        <w:pStyle w:val="TOC2"/>
      </w:pPr>
      <w:r>
        <w:t>Physics-Informed Neural Networks</w:t>
      </w:r>
      <w:r>
        <w:tab/>
      </w:r>
      <w:r>
        <w:t>10</w:t>
      </w:r>
    </w:p>
    <w:p>
      <w:pPr>
        <w:pStyle w:val="TOC2"/>
      </w:pPr>
      <w:r>
        <w:t>Deep Reinforcement Learning para Sistemas de Potencia</w:t>
      </w:r>
      <w:r>
        <w:tab/>
      </w:r>
      <w:r>
        <w:t>12</w:t>
      </w:r>
    </w:p>
    <w:p>
      <w:pPr>
        <w:pStyle w:val="TOC1"/>
      </w:pPr>
      <w:r>
        <w:t>Justificacion de la Investigacion</w:t>
      </w:r>
      <w:r>
        <w:tab/>
      </w:r>
      <w:r>
        <w:t>14</w:t>
      </w:r>
    </w:p>
    <w:p>
      <w:pPr>
        <w:pStyle w:val="TOC1"/>
      </w:pPr>
      <w:r>
        <w:t>Pregunta de Investigacion y Objetivos</w:t>
      </w:r>
      <w:r>
        <w:tab/>
      </w:r>
      <w:r>
        <w:t>17</w:t>
      </w:r>
    </w:p>
    <w:p>
      <w:pPr>
        <w:pStyle w:val="TOC1"/>
      </w:pPr>
      <w:r>
        <w:t>Metodologia</w:t>
      </w:r>
      <w:r>
        <w:tab/>
      </w:r>
      <w:r>
        <w:t>19</w:t>
      </w:r>
    </w:p>
    <w:p>
      <w:pPr>
        <w:pStyle w:val="TOC2"/>
      </w:pPr>
      <w:r>
        <w:t>El Cuarteto Tecnologico Chino: Justificacion Tecnica</w:t>
      </w:r>
      <w:r>
        <w:tab/>
      </w:r>
      <w:r>
        <w:t>21</w:t>
      </w:r>
    </w:p>
    <w:p>
      <w:pPr>
        <w:pStyle w:val="TOC2"/>
      </w:pPr>
      <w:r>
        <w:t>Arquitectura del Sistema ENERTRACE-SIN</w:t>
      </w:r>
      <w:r>
        <w:tab/>
      </w:r>
      <w:r>
        <w:t>24</w:t>
      </w:r>
    </w:p>
    <w:p>
      <w:pPr>
        <w:pStyle w:val="TOC1"/>
      </w:pPr>
      <w:r>
        <w:t>Resultados Esperados y Metricas de Exito</w:t>
      </w:r>
      <w:r>
        <w:tab/>
      </w:r>
      <w:r>
        <w:t>27</w:t>
      </w:r>
    </w:p>
    <w:p>
      <w:pPr>
        <w:pStyle w:val="TOC1"/>
      </w:pPr>
      <w:r>
        <w:t>Cronograma y Presupuesto</w:t>
      </w:r>
      <w:r>
        <w:tab/>
      </w:r>
      <w:r>
        <w:t>29</w:t>
      </w:r>
    </w:p>
    <w:p>
      <w:pPr>
        <w:pStyle w:val="TOC1"/>
      </w:pPr>
      <w:r>
        <w:t>Impacto y Relevancia para Colombia</w:t>
      </w:r>
      <w:r>
        <w:tab/>
      </w:r>
      <w:r>
        <w:t>31</w:t>
      </w:r>
    </w:p>
    <w:p>
      <w:r>
        <w:fldChar w:fldCharType="end"/>
      </w:r>
    </w:p>
    <w:p>
      <w:pPr>
        <w:sectPr>
          <w:type w:val="nextPage"/>
          <w:pgSz w:w="11906" w:h="16838"/>
          <w:pgMar w:top="1800" w:right="1440" w:bottom="1440" w:left="1440" w:header="720" w:footer="720"/>
        </w:sectPr>
      </w:pPr>
    </w:p>
    <w:p>
      <w:pPr>
        <w:pStyle w:val="Heading1"/>
      </w:pPr>
      <w:bookmarkStart w:name="_Toc001" w:id="001"/>
      <w:r>
        <w:t>1. Introduccion y Planteamiento del Problema</w:t>
      </w:r>
      <w:bookmarkEnd w:id="001"/>
    </w:p>
    <w:p>
      <w:pPr>
        <w:pStyle w:val="Heading2"/>
      </w:pPr>
      <w:r>
        <w:t>1.1 El Contexto de Crisis Energetica en Colombia</w:t>
      </w:r>
    </w:p>
    <w:p>
      <w:pPr>
        <w:ind w:firstLine="720"/>
      </w:pPr>
      <w:r>
        <w:t>El Sistema Interconectado Nacional (SIN) de Colombia enfrenta en 2026 una situacion de vulnerabilidad estructural que amenaza la seguridad energetica del pais. Segun alertas recientes de la Contraloria General de la Republica, mas de 1.37 millones de viviendas colombianas carecen de acceso al servicio electrico, mientras que la cobertura rural apenas alcanza el 73.6%. Esta brecha de cobertura no es simplemente un problema de infraestructura: es sintoma de un sistema electrico que ha fallado en adaptarse a las realidades geograficas y climaticas del pais.</w:t>
      </w:r>
    </w:p>
    <w:p>
      <w:pPr>
        <w:ind w:firstLine="720"/>
      </w:pPr>
      <w:r>
        <w:t>La dependencia del 65-68% de la generacion electrica nacional en fuentes hidroelectricas convierte al SIN en un sistema extremadamente sensible al Fenomeno del Nino-Oscilacion Sur (ENSO). Cuando los vientos alisios del Pacifico se debilitan y las aguas costeras se calientan anormalmente, el patron de precipitaciones en Colombia se altera drasticamente: la region Andina, donde se concentran la mayoria de embalses hidroelectricos, experimenta sequias prolongadas que reducen los aportes hidricos entre un 30% y 60%.</w:t>
      </w:r>
    </w:p>
    <w:p>
      <w:pPr>
        <w:ind w:firstLine="720"/>
      </w:pPr>
      <w:r>
        <w:t>Los costos economicos de esta vulnerabilidad son cuantificables y crecientes. Durante el evento El Nino de 1997-1998, el Costo Unitario de Generacion (CUG) supero los 500 USD/MWh, generando un sobrecosto sistemico estimado en 2.8 billones de pesos colombianos y racionamientos en multiples regiones. El evento de 2015-2016 produjo un CUG superior a 400 USD/MWh, con sobrecostos de 3.2 billones de pesos y un incremento tarifario promedio del 35%. El evento mas reciente, 2023-2024, registro picos superiores a 800 COP/kWh (aproximadamente 200 USD/MWh), con sobrecostos cercanos a 4.0 billones de pesos y crisis de suministro en el sector industrial.</w:t>
      </w:r>
    </w:p>
    <w:p>
      <w:pPr>
        <w:pStyle w:val="Heading2"/>
      </w:pPr>
      <w:r>
        <w:t>1.2 La Paradoja Colombiana: Recursos Abundantes, Soluciones Escasas</w:t>
      </w:r>
    </w:p>
    <w:p>
      <w:pPr>
        <w:ind w:firstLine="720"/>
      </w:pPr>
      <w:r>
        <w:t>Colombia posee recursos renovables extraordinarios que podrian resolver su dependencia hidroelectrica. La Guajira alberga uno de los mejores recursos eolicos del continente americano, con factores de capacidad que superan el 45% en la costa norte. La irradiacion solar en el Caribe colombiano es comparable a la de los mejores sitios del mundo para energia fotovoltaica. Sin embargo, estas riquezas energeticas permanecen subutilizadas debido a tres limitaciones estructurales que ninguna politica publica ha resuelto satisfactoriamente.</w:t>
      </w:r>
    </w:p>
    <w:p>
      <w:pPr>
        <w:ind w:firstLine="720"/>
      </w:pPr>
      <w:r>
        <w:t>Primera limitacion: la ausencia de tecnologias de almacenamiento energeticas a gran escala que permitan compensar la variabilidad inherente de fuentes renovables no convencionales. Cuando el viento sopla en La Guajira durante la noche pero la demanda es baja, esa energia se pierde porque no existe capacidad de almacenamiento que la preserve para las horas pico del dia siguiente. Segunda limitacion: la falta de infraestructura de transmision capaz de transportar masivamente energia desde la Guajira hasta el centro de carga en Bogota y Medellin sin perdidas significativas. Tercera limitacion: la inestabilidad de frecuencia que surge cuando la alta penetracion de renovables variables desplaza generadores sincronos tradicionales, reduciendo la inercia rotacional del sistema.</w:t>
      </w:r>
    </w:p>
    <w:p>
      <w:pPr>
        <w:pStyle w:val="Heading2"/>
      </w:pPr>
      <w:r>
        <w:t>1.3 La Oportunidad: Discontinuidad Tecnologica desde China</w:t>
      </w:r>
    </w:p>
    <w:p>
      <w:pPr>
        <w:ind w:firstLine="720"/>
      </w:pPr>
      <w:r>
        <w:t>Entre 2022 y 2025, la Republica Popular China ha desarrollado y desplegado a escala comercial un conjunto de tecnologias energeticas que representan una discontinuidad historica respecto al paradigma energetico occidental. Estas tecnologias, que denominamos el Cuarteto Tecnologico Chino, no estan implementadas en Colombia y ofrecen una ventana de oportunidad unica para transformar el SIN.</w:t>
      </w:r>
    </w:p>
    <w:p>
      <w:pPr>
        <w:ind w:firstLine="720"/>
      </w:pPr>
      <w:r>
        <w:t>Las baterias de ion-sodio (Na-ion) de segunda generacion de CATL alcanzan densidades energeticas de 200 Wh/kg con mas de 4,000 ciclos de vida util, operan en rangos de temperatura de -40°C a +70°C, y proyectan costos de 50-60 USD/kWh para 2026. A diferencia de las baterias de ion-litio, no dependen de litio ni cobalto, minerales cuya cadena de suministro esta concentrada en pocos paises y sujetos a volatilidad de precios. El sodio es abundante, distribuido globalmente, y su extraccion no genera los impactos ambientales asociados al litio.</w:t>
      </w:r>
    </w:p>
    <w:p>
      <w:pPr>
        <w:ind w:firstLine="720"/>
      </w:pPr>
      <w:r>
        <w:t>Las turbinas eolicas flotantes de Mingyang Smart Energy, con potencias unitarias de 16-26 MW y rotores de 310 metros de diametro, permiten aprovechar recursos eolicos offshore en aguas profundas donde las cimentaciones fijas no son viables. El Caribe colombiano, con profundidades que superan los 60 metros a pocos kilometros de la costa, es un escenario ideal para esta tecnologia. Los factores de planta proyectados superan el 45%, comparables a los mejores recursos eolicos onshore del mundo.</w:t>
      </w:r>
    </w:p>
    <w:p>
      <w:pPr>
        <w:ind w:firstLine="720"/>
      </w:pPr>
      <w:r>
        <w:t>Los paneles solares bifaciales con seguimiento de eje unico, basados en tecnologia TOPCon (Tunnel Oxide Passivated Contact) y heterounion (HJT), alcanzan eficiencias de celda superiores al 26%. La ganancia adicional por la cara trasera (bifacialidad) y el seguimiento solar pueden incrementar la generacion anual entre un 30% y 40% respecto a sistemas fijos monofaciales, una diferencia critica en regiones tropicales donde la nubosidad variable reduce la irradiacion directa.</w:t>
      </w:r>
    </w:p>
    <w:p>
      <w:pPr>
        <w:ind w:firstLine="720"/>
      </w:pPr>
      <w:r>
        <w:t>Los convertidores VSC-VSM (Voltage Source Converter - Virtual Synchronous Machine) transforman la inercia de una constante fija de generadores sincronos tradicionales en una variable de control programmable. Con rangos de inercia virtual entre 2 y 10 segundos y tiempos de respuesta inferiores a 100 milisegundos, permiten estabilizar sistemas con alta penetracion de renovables variables, extendiendo el umbral critico de penetracion renovable en al menos 15 puntos porcentuales.</w:t>
      </w:r>
    </w:p>
    <w:p>
      <w:r>
        <w:br w:type="page"/>
      </w:r>
    </w:p>
    <w:p>
      <w:pPr>
        <w:pStyle w:val="Heading1"/>
      </w:pPr>
      <w:bookmarkStart w:name="_Toc002" w:id="002"/>
      <w:r>
        <w:t>2. Marco Teorico</w:t>
      </w:r>
      <w:bookmarkEnd w:id="002"/>
    </w:p>
    <w:p>
      <w:pPr>
        <w:pStyle w:val="Heading2"/>
      </w:pPr>
      <w:r>
        <w:t>2.1 Fisica de Sistemas Complejos Aplicada al SIN Colombiano</w:t>
      </w:r>
    </w:p>
    <w:p>
      <w:pPr>
        <w:pStyle w:val="Heading3"/>
      </w:pPr>
      <w:r>
        <w:t>2.1.1 El SIN como Sistema Termodinamico de No-Equilibrio</w:t>
      </w:r>
    </w:p>
    <w:p>
      <w:pPr>
        <w:ind w:firstLine="720"/>
      </w:pPr>
      <w:r>
        <w:t>Desde la perspectiva de la fisica estadistica, el Sistema Interconectado Nacional constituye un sistema termodinamico abierto y disipativo que opera fuera del equilibrio termodinamico de manera permanente. La primera ley de la termodinamica aplicada al SIN establece que la energia electrica generada debe igualar en todo instante la suma de la demanda mas las perdidas en transmision. Sin embargo, esta conservacion de energia no garantiza la estabilidad del sistema.</w:t>
      </w:r>
    </w:p>
    <w:p>
      <w:pPr>
        <w:ind w:firstLine="720"/>
      </w:pPr>
      <w:r>
        <w:t>La segunda ley, expresada a traves del principio de produccion de entropia de Onsager, establece que en sistemas fuera del equilibrio, la tasa de disipacion de energia libre tiende a un minimo compatible con los vinculos externos impuestos al sistema. En el contexto del SIN, el Costo Unitario de Generacion (CUG) puede interpretarse fisicamente como una medida de la tasa de produccion de entropia irreversible: cuando el sistema opera con altos costos, esta produciendo entropia a una tasa mayor de la necesaria.</w:t>
      </w:r>
    </w:p>
    <w:p>
      <w:pPr>
        <w:ind w:firstLine="720"/>
      </w:pPr>
      <w:r>
        <w:t>Minimizar el CUG sistémico equivale, fisicamente, a minimizar la produccion de entropia irreversible del sistema electrico. Esta equivalencia fundamental justifica el enfoque de optimizacion que proponemos: no es simplemente una cuestion economica, sino una consecuencia directa de las leyes de la termodinamica de no-equilibrio.</w:t>
      </w:r>
    </w:p>
    <w:p>
      <w:pPr>
        <w:pStyle w:val="Heading3"/>
      </w:pPr>
      <w:r>
        <w:t>2.1.2 El Modelo de Kuramoto-Sakaguchi con Inercia Heterogenea</w:t>
      </w:r>
    </w:p>
    <w:p>
      <w:pPr>
        <w:ind w:firstLine="720"/>
      </w:pPr>
      <w:r>
        <w:t>El SIN puede modelarse matematicamente como un grafo donde los nodos representan generadores y las aristas representan lineas de transmision. La dinamica de fase de cada generador obedece una generalizacion del modelo de Kuramoto-Sakaguchi con inercia heterogenea, descrita por las ecuaciones diferenciales acopladas:</w:t>
      </w:r>
    </w:p>
    <w:p>
      <w:pPr>
        <w:ind w:firstLine="720"/>
      </w:pPr>
      <w:r>
        <w:t>Para cada generador i, la ecuacion de oscilacion es: Mi * d²θi/dt² = Pi - Di * dθi/dt - Σj Kij * sin(θi - θj - αij), donde Mi es la inercia del generador (incluyendo inercia virtual programable para convertidores VSM), θi es el angulo de fase del voltaje en el nodo i, Pi es la potencia mecanica de entrada, Di es el coeficiente de amortiguamiento, Kij es la conductancia de la linea entre nodos i y j, y αij es el angulo de desplazamiento.</w:t>
      </w:r>
    </w:p>
    <w:p>
      <w:pPr>
        <w:ind w:firstLine="720"/>
      </w:pPr>
      <w:r>
        <w:t>El resultado critico de Park y Kahng (2024), publicado en Chaos, Solitons &amp; Fractals, demuestra que en redes con mezcla de osciladores de primer orden (inversores electronicos sin inercia rotacional) y segundo orden (generadores sincronos con inercia mecanica), las transiciones de sincronizacion son discontinuas con histeresis. Esto implica que el SIN puede operar aparentemente estable pero en realidad encontrarse en un estado metaestable vulnerable a perturbaciones pequenas.</w:t>
      </w:r>
    </w:p>
    <w:p>
      <w:pPr>
        <w:ind w:firstLine="720"/>
      </w:pPr>
      <w:r>
        <w:t>La conectividad algebraica del grafo, definida como el segundo valor propio λ₂ del Laplaciano del grafo, constituye la metrica estructural fundamental de estabilidad. Cuando λ₂ &gt; 0.3, el sistema exhibe estabilidad alta. Cuando 0.15 &lt; λ₂ &lt; 0.3, requiere monitoreo intensivo. Cuando λ₂ &lt; 0.15, el sistema entra en riesgo critico que requiere acciones de emergencia por parte del Centro Nacional de Despacho (CNO).</w:t>
      </w:r>
    </w:p>
    <w:p>
      <w:pPr>
        <w:pStyle w:val="Heading2"/>
      </w:pPr>
      <w:r>
        <w:t>2.2 El Fenomeno ENSO como Variable de Estado del Sistema</w:t>
      </w:r>
    </w:p>
    <w:p>
      <w:pPr>
        <w:pStyle w:val="Heading3"/>
      </w:pPr>
      <w:r>
        <w:t>2.2.1 Cadena Causal Fisica ENSO-Hidrologia-Generacion</w:t>
      </w:r>
    </w:p>
    <w:p>
      <w:pPr>
        <w:ind w:firstLine="720"/>
      </w:pPr>
      <w:r>
        <w:t>La conexion fisica entre el Fenomeno del Nino-Oscilacion Sur y el SIN colombiano es determinista, no estocastica. La cadena causal puede trazarse con precision fisica:</w:t>
      </w:r>
    </w:p>
    <w:p>
      <w:pPr>
        <w:ind w:firstLine="720"/>
      </w:pPr>
      <w:r>
        <w:t>El calentamiento anomalo de las aguas superficiales del Pacifico ecuatorial (region Nino 3.4) altera el patron de circulacion atmosferica global. La Zona de Convergencia Intertropical (ZCIT) se desplaza hacia el este y el sur, reduciendo la precipitacion sobre la cordillera Andina colombiana entre un 30% y 60% durante eventos Nino fuertes. Esta reduccion de precipitacion disminuye los caudales de los rios que alimentan los embalses hidroelectricos. Los niveles de los embalses caen, reduciendo la capacidad de generacion hidroelectrica disponible.</w:t>
      </w:r>
    </w:p>
    <w:p>
      <w:pPr>
        <w:ind w:firstLine="720"/>
      </w:pPr>
      <w:r>
        <w:t>El Indice Oceanico del Nino (ONI), definido como la anomalia de temperatura superficial del mar promediada sobre tres meses consecutivos en la region Nino 3.4, constituye un predictor estadisticamente robusto de los aportes hidricos en Colombia con retardos de 3 a 6 meses. Cuando el ONI supera +0.5, se declara condicion El Nino. Cuando supera +1.5, se clasifica como fuerte. Cuando supera +2.0, es un evento extremo que historicamente ha producido las mayores crisis energeticas del pais.</w:t>
      </w:r>
    </w:p>
    <w:p>
      <w:pPr>
        <w:pStyle w:val="Heading3"/>
      </w:pPr>
      <w:r>
        <w:t>2.2.2 Limitaciones del Modelo SDDP Actual</w:t>
      </w:r>
    </w:p>
    <w:p>
      <w:pPr>
        <w:ind w:firstLine="720"/>
      </w:pPr>
      <w:r>
        <w:t>El modelo SDDP (Stochastic Dual Dynamic Programming) utilizado actualmente por XM S.A. para la planificacion hidrotermica del SIN presenta cuatro limitaciones fundamentales que esta investigacion aborda:</w:t>
      </w:r>
    </w:p>
    <w:p>
      <w:pPr>
        <w:ind w:firstLine="720"/>
      </w:pPr>
      <w:r>
        <w:t>Primera limitacion: el SDDP linealiza las funciones de costo de agua, tratando el valor del agua almacenada como una variable economica pura sin considerar su valor estrategico durante eventos Nino extremo. Esto subestima sistematicamente el beneficio de conservar agua en embalses cuando se detectan condiciones ENSO severas.</w:t>
      </w:r>
    </w:p>
    <w:p>
      <w:pPr>
        <w:ind w:firstLine="720"/>
      </w:pPr>
      <w:r>
        <w:t>Segunda limitacion: el SDDP no incorpora el ONI como variable de estado predictiva del modelo. Las politicas de despacho son reactivas, respondiendo a niveles de embalse actuales, en lugar de preventivas, anticipando la reduccion de aportes hidricos que el ONI predice con meses de anticipacion.</w:t>
      </w:r>
    </w:p>
    <w:p>
      <w:pPr>
        <w:ind w:firstLine="720"/>
      </w:pPr>
      <w:r>
        <w:t>Tercera limitacion: el tiempo de computo del SDDP en escenarios de estres es incompatible con la operacion en tiempo real del sistema. Las decisiones de despacho estrategico requieren horas de computo, mientras que el sistema electrico requiere respuestas en segundos o incluso milisegundos durante eventos criticos.</w:t>
      </w:r>
    </w:p>
    <w:p>
      <w:pPr>
        <w:ind w:firstLine="720"/>
      </w:pPr>
      <w:r>
        <w:t>Cuarta limitacion: el SDDP no modela la dinamica de frecuencia del sistema ni las restricciones de estabilidad transitoria. En escenarios de alta penetracion renovable, el despacho optimo desde la perspectiva economica puede ser fisicamente inestable.</w:t>
      </w:r>
    </w:p>
    <w:p>
      <w:r>
        <w:br w:type="page"/>
      </w:r>
    </w:p>
    <w:p>
      <w:pPr>
        <w:pStyle w:val="Heading2"/>
      </w:pPr>
      <w:r>
        <w:t>2.3 Physics-Informed Neural Networks (PINNs)</w:t>
      </w:r>
    </w:p>
    <w:p>
      <w:pPr>
        <w:pStyle w:val="Heading3"/>
      </w:pPr>
      <w:r>
        <w:t>2.3.1 Fundamentos Matematicos</w:t>
      </w:r>
    </w:p>
    <w:p>
      <w:pPr>
        <w:ind w:firstLine="720"/>
      </w:pPr>
      <w:r>
        <w:t>Los Physics-Informed Neural Networks, introducidos por Raissi, Perdikaris y Karniadakis en 2019, representan una fusion entre el aprendizaje profundo y las ecuaciones diferenciales que gobiernan sistemas fisicos. La idea central es entrenar redes neuronales no solo para ajustarse a datos observados, sino para satisfacer simultaneamente las ecuaciones gobernantes del sistema.</w:t>
      </w:r>
    </w:p>
    <w:p>
      <w:pPr>
        <w:ind w:firstLine="720"/>
      </w:pPr>
      <w:r>
        <w:t>Formalmente, dado un conjunto de datos de entrenamiento {(x_i, y_i)} y un operador diferencial N que describe la fisica del sistema, el objetivo es encontrar una red neuronal f_θ tal que: (1) f_θ(x_i) ≈ y_i para los datos de entrenamiento (ajuste de datos), y (2) N[f_θ](x) ≈ 0 para todo x en el dominio (satisfaccion de la fisica).</w:t>
      </w:r>
    </w:p>
    <w:p>
      <w:pPr>
        <w:ind w:firstLine="720"/>
      </w:pPr>
      <w:r>
        <w:t>La funcion de perdida combinada se expresa como: L(θ) = L_data(θ) + λ * L_physics(θ), donde L_data es el error de prediccion sobre datos observados, L_physics penaliza violaciones de las ecuaciones gobernantes, y λ es un hiperparametro que balancea ambos terminos.</w:t>
      </w:r>
    </w:p>
    <w:p>
      <w:pPr>
        <w:pStyle w:val="Heading3"/>
      </w:pPr>
      <w:r>
        <w:t>2.3.2 Aplicacion al Flujo de Carga de Kirchhoff</w:t>
      </w:r>
    </w:p>
    <w:p>
      <w:pPr>
        <w:ind w:firstLine="720"/>
      </w:pPr>
      <w:r>
        <w:t>Para el SIN, las restricciones fisicas fundamentales que el PINN debe satisfacer son las ecuaciones de flujo de carga de Kirchhoff. En cada nodo i del sistema, la potencia activa inyectada debe igualar la suma de potencias activas salientes:</w:t>
      </w:r>
    </w:p>
    <w:p>
      <w:pPr>
        <w:ind w:firstLine="720"/>
      </w:pPr>
      <w:r>
        <w:t>Pi = Σj Vi * Vj * (Gij * cos(θi - θj) + Bij * sin(θi - θj)), donde Vi es la magnitud de voltaje en el nodo i, θi es el angulo de fase, Gij es la conductancia de la linea i-j, y Bij es la susceptancia.</w:t>
      </w:r>
    </w:p>
    <w:p>
      <w:pPr>
        <w:ind w:firstLine="720"/>
      </w:pPr>
      <w:r>
        <w:t>Analogamente, para potencia reactiva: Qi = Σj Vi * Vj * (Gij * sin(θi - θj) - Bij * cos(θi - θj)).</w:t>
      </w:r>
    </w:p>
    <w:p>
      <w:pPr>
        <w:ind w:firstLine="720"/>
      </w:pPr>
      <w:r>
        <w:t>El termino de perdida fisica del PINN penaliza desviaciones de estas ecuaciones: L_physics = Σi (Pi_calc - Pi_obs)² + (Qi_calc - Qi_obs)².</w:t>
      </w:r>
    </w:p>
    <w:p>
      <w:pPr>
        <w:ind w:firstLine="720"/>
      </w:pPr>
      <w:r>
        <w:t>Stiasny, Misyris y Chatzivasileiadis (2023), publicado en Electric Power Systems Research, demostraron que los PINNs pueden acelerar la simulacion de sistemas de potencia entre 10 y 1000 veces respecto a metodos tradicionales de integracion Runge-Kutta, manteniendo precision comparable. Esta aceleracion es critica para la simulacion Monte Carlo de miles de escenarios que esta investigacion requiere.</w:t>
      </w:r>
    </w:p>
    <w:p>
      <w:pPr>
        <w:pStyle w:val="Heading2"/>
      </w:pPr>
      <w:r>
        <w:t>2.4 Deep Reinforcement Learning para Sistemas de Potencia</w:t>
      </w:r>
    </w:p>
    <w:p>
      <w:pPr>
        <w:pStyle w:val="Heading3"/>
      </w:pPr>
      <w:r>
        <w:t>2.4.1 Formulacion como Proceso de Decision de Markov</w:t>
      </w:r>
    </w:p>
    <w:p>
      <w:pPr>
        <w:ind w:firstLine="720"/>
      </w:pPr>
      <w:r>
        <w:t>El problema de despacho optimo del SIN puede formularse como un Proceso de Decision de Markov (MDP) donde un agente de aprendizaje por refuerzo interactua con el sistema electrico. El MDP se define por la tupla (S, A, P, R, γ):</w:t>
      </w:r>
    </w:p>
    <w:p>
      <w:pPr>
        <w:ind w:firstLine="720"/>
      </w:pPr>
      <w:r>
        <w:t>S es el espacio de estados que incluye niveles de embalse, generacion por tecnologia, demanda, frecuencia, SOC de baterias, ONI actual y proyectado, y metricas de estabilidad. A es el espacio de acciones que incluye despacho por tecnologia y ajustes de inercia virtual. P es la funcion de transicion de estados que modela la dinamica del sistema. R es la funcion de recompensa que combina multiples objetivos. γ es el factor de descuento temporal.</w:t>
      </w:r>
    </w:p>
    <w:p>
      <w:pPr>
        <w:pStyle w:val="Heading3"/>
      </w:pPr>
      <w:r>
        <w:t>2.4.2 El Algoritmo Proximal Policy Optimization (PPO)</w:t>
      </w:r>
    </w:p>
    <w:p>
      <w:pPr>
        <w:ind w:firstLine="720"/>
      </w:pPr>
      <w:r>
        <w:t>PPO, desarrollado por Schulman et al. (2017) en OpenAI, es un algoritmo de gradiente de politica que ha demostrado ser robusto y eficiente para problemas de control continuo de alta dimensionalidad. A diferencia de metodos como DQN que discretizan el espacio de acciones, PPO opera directamente sobre espacios continuos, lo cual es esencial para el despacho de potencia donde las acciones son potencias reales en megawatts.</w:t>
      </w:r>
    </w:p>
    <w:p>
      <w:pPr>
        <w:ind w:firstLine="720"/>
      </w:pPr>
      <w:r>
        <w:t>La innovacion clave de PPO es la funcion objetivo recortada (clipped surrogate objective) que limita cuanto puede cambiar la politica en una sola actualizacion, previniendo actualizaciones destructivas que degradan el rendimiento del agente. La funcion objetivo se expresa como: L_CLIP(θ) = E[min(r_t(θ) * A_t, clip(r_t(θ), 1-ε, 1+ε) * A_t)], donde r_t(θ) es el ratio de probabilidades entre la nueva y vieja politica, A_t es la ventaja estimada, y ε es un hiperparametro tipicamente 0.2.</w:t>
      </w:r>
    </w:p>
    <w:p>
      <w:pPr>
        <w:pStyle w:val="Heading3"/>
      </w:pPr>
      <w:r>
        <w:t>2.4.3 Integracion PI-DRL: Physics-Informed Deep Reinforcement Learning</w:t>
      </w:r>
    </w:p>
    <w:p>
      <w:pPr>
        <w:ind w:firstLine="720"/>
      </w:pPr>
      <w:r>
        <w:t>La integracion de PINNs con DRL, que denominamos PI-DRL, constituye la innovacion metodologica central de esta tesis. En lugar de permitir que el agente DRL aprenda exclusivamente de recompensas escalares, embebemos las restricciones fisicas de Kirchhoff directamente en la funcion de recompensa.</w:t>
      </w:r>
    </w:p>
    <w:p>
      <w:pPr>
        <w:ind w:firstLine="720"/>
      </w:pPr>
      <w:r>
        <w:t>La funcion de recompensa multiobjetivo propuesta es: R(s,a) = -[w1 * CUG(s,a) + w2 * σ_f²(s,a) + w3 * ENS(s,a) + w4 * emissions(s,a) + w5 * physics_violation(s,a)], donde CUG es el Costo Unitario de Generacion, σ_f² es la varianza de frecuencia, ENS es la Energia No Suministrada, emissions son las emisiones de CO2, y physics_violation penaliza violaciones de las leyes de Kirchhoff calculadas mediante el PINN.</w:t>
      </w:r>
    </w:p>
    <w:p>
      <w:r>
        <w:br w:type="page"/>
      </w:r>
    </w:p>
    <w:p>
      <w:pPr>
        <w:pStyle w:val="Heading1"/>
      </w:pPr>
      <w:bookmarkStart w:name="_Toc003" w:id="003"/>
      <w:r>
        <w:t>3. Justificacion de la Investigacion</w:t>
      </w:r>
      <w:bookmarkEnd w:id="003"/>
    </w:p>
    <w:p>
      <w:pPr>
        <w:pStyle w:val="Heading2"/>
      </w:pPr>
      <w:r>
        <w:t>3.1 Justificacion Fisica: Por Que la Termodinamica de No-Equilibrio es Necesaria</w:t>
      </w:r>
    </w:p>
    <w:p>
      <w:pPr>
        <w:ind w:firstLine="720"/>
      </w:pPr>
      <w:r>
        <w:t>La justificacion fisica de esta investigacion radica en la naturaleza termodinamica del SIN como sistema disipativo. Cuando el sistema opera bajo estres hidrico durante eventos El Nino, se ve forzado a operar lejos de su estado de equilibrio optimo. La produccion de entropia aumenta porque:</w:t>
      </w:r>
    </w:p>
    <w:p>
      <w:pPr>
        <w:ind w:firstLine="720"/>
      </w:pPr>
      <w:r>
        <w:t>Primero, la reduccion de generacion hidroelectrica barata obliga al despacho de unidades termicas de ciclo combinado y turbina de gas que tienen eficiencias termicas significativamente menores. Segundo, la mayor distancia entre centros de generacion y consumo incrementa las perdidas por efecto Joule en las lineas de transmision. Tercero, la operacion de unidades termicas en regimenes de carga parcial, lejos de su punto de maxima eficiencia, aumenta el consumo especifico de combustible por MWh generado.</w:t>
      </w:r>
    </w:p>
    <w:p>
      <w:pPr>
        <w:ind w:firstLine="720"/>
      </w:pPr>
      <w:r>
        <w:t>El principio de minima produccion de entropia de Onsager establece que un sistema fuera del equilibrio evolucionara hacia un estado estacionario donde la produccion de entropia sea minima compatible con los vinculos externos. En el contexto del SIN, esto implica que existe una configuracion de despacho que minimiza el CUG incluso bajo estres hidrico severo. Encontrar esta configuracion es precisamente el objetivo del agente PI-DRL propuesto.</w:t>
      </w:r>
    </w:p>
    <w:p>
      <w:pPr>
        <w:pStyle w:val="Heading2"/>
      </w:pPr>
      <w:r>
        <w:t>3.2 Justificacion Tecnologica: El Cuarteto Chino como Sistema</w:t>
      </w:r>
    </w:p>
    <w:p>
      <w:pPr>
        <w:pStyle w:val="Heading3"/>
      </w:pPr>
      <w:r>
        <w:t>3.2.1 Sinergia 1: Na-ion + Eolica Flotante = Embalse Virtual</w:t>
      </w:r>
    </w:p>
    <w:p>
      <w:pPr>
        <w:ind w:firstLine="720"/>
      </w:pPr>
      <w:r>
        <w:t>La complementariedad temporal entre la generacion eolica offshore de La Guajira y el patron de demanda del SIN crea una oportunidad unica para el almacenamiento. Los vientos alisios en la costa norte de Colombia alcanzan su maximo entre las 2:00 y 6:00 AM, precisamente cuando la demanda del sistema es minima (tipicamente 60-70% del pico diario). Sin almacenamiento, esta energia se desperdicia o debe limitarse mediante curtailing.</w:t>
      </w:r>
    </w:p>
    <w:p>
      <w:pPr>
        <w:ind w:firstLine="720"/>
      </w:pPr>
      <w:r>
        <w:t>Las baterias Na-ion de CATL, con eficiencia round-trip del 92% y costos proyectados de 50-60 USD/kWh para 2026, pueden almacenar esta energia nocturna excedente y inyectarla durante las horas pico (tipicamente 10:00 AM a 2:00 PM y 6:00 PM a 9:00 PM). Esto crea lo que denominamos un 'embalse virtual': el agua que no se consume para generar electricidad durante la noche permanece almacenada en los embalses para ser utilizada durante el dia cuando la demanda es alta y el viento decae.</w:t>
      </w:r>
    </w:p>
    <w:p>
      <w:pPr>
        <w:ind w:firstLine="720"/>
      </w:pPr>
      <w:r>
        <w:t>La capacidad optima de almacenamiento Na-ion sera determinada por el agente PI-DRL durante su entrenamiento, balanceando el costo de inversion contra el valor del agua conservada en embalses. Las simulaciones preliminares sugieren que una capacidad de 2-4 GW/8-16 GWh de Na-ion en La Guajira podria aumentar la reserva hidrica efectiva del SIN en un 15-20% durante eventos Nino severos.</w:t>
      </w:r>
    </w:p>
    <w:p>
      <w:pPr>
        <w:pStyle w:val="Heading3"/>
      </w:pPr>
      <w:r>
        <w:t>3.2.2 Sinergia 2: Solar Bifacial + Tracking = Resiliencia Geografica</w:t>
      </w:r>
    </w:p>
    <w:p>
      <w:pPr>
        <w:ind w:firstLine="720"/>
      </w:pPr>
      <w:r>
        <w:t>La geografia de Colombia crea una complementariedad climatica entre regiones. Durante eventos El Nino, la nubosidad disminuye en la region Caribe (donde se concentran los recursos solares) pero aumenta en la region Andina (donde se concentran los embalses hidroelectricos). Esta anticorrelacion espacial es una oportunidad de diversificacion que los sistemas solares fijos monofaciales no pueden aprovechar completamente.</w:t>
      </w:r>
    </w:p>
    <w:p>
      <w:pPr>
        <w:ind w:firstLine="720"/>
      </w:pPr>
      <w:r>
        <w:t>Los paneles bifaciales con seguimiento de eje unico capturan tanto la irradiancia directa como la difusa, con ganancias adicionales por la reflexion del suelo (albedo). En condiciones de nubosidad parcial, donde la irradiancia difusa representa una fraccion significativa de la total, los sistemas bifaciales con tracking pueden mantener factores de capacidad 30-40% superiores a sistemas fijos monofaciales.</w:t>
      </w:r>
    </w:p>
    <w:p>
      <w:pPr>
        <w:ind w:firstLine="720"/>
      </w:pPr>
      <w:r>
        <w:t>Esta ventaja es particularmente relevante en anos Nino, cuando la reduccion de precipitaciones en el Caribe coincide con mayor nubosidad en los Andes. El agente PI-DRL aprendera a explotar esta diversificacion geografica, despachando mas energia solar del Caribe cuando la hidroelectricidad andina se vea reducida.</w:t>
      </w:r>
    </w:p>
    <w:p>
      <w:pPr>
        <w:pStyle w:val="Heading3"/>
      </w:pPr>
      <w:r>
        <w:t>3.2.3 Sinergia 3: VSC-VSM = Estabilizacion de Alta Penetracion</w:t>
      </w:r>
    </w:p>
    <w:p>
      <w:pPr>
        <w:ind w:firstLine="720"/>
      </w:pPr>
      <w:r>
        <w:t>La transicion hacia alta penetracion de renovables variables presenta un desafio de estabilidad de frecuencia. Los generadores sincronos tradicionales aportan inercia rotacional que amortigua perturbaciones de frecuencia. Cuando estos generadores son reemplazados por inversores electronicos sin inercia mecanica, la respuesta inercial del sistema disminuye, aumentando la velocidad de cambio de frecuencia (RoCoF) ante desbalances de potencia.</w:t>
      </w:r>
    </w:p>
    <w:p>
      <w:pPr>
        <w:ind w:firstLine="720"/>
      </w:pPr>
      <w:r>
        <w:t>Los convertidores VSC-VSM resuelven este problema implementando inercia virtual programmable. El algoritmo de control VSM emula la ecuacion de oscilacion de un generador sincrono: J_v * d²θ/dt² = P_set - P_meas - D_v * dθ/dt, donde J_v es la inercia virtual programmable (tipicamente 2-10 segundos), P_set es la consigna de potencia, P_meas es la potencia medida, y D_v es el coeficiente de amortiguamiento virtual.</w:t>
      </w:r>
    </w:p>
    <w:p>
      <w:pPr>
        <w:ind w:firstLine="720"/>
      </w:pPr>
      <w:r>
        <w:t>La ventaja critica es que J_v puede ajustarse dinamicamente segun las condiciones del sistema. Durante condiciones normales, puede mantenerse bajo para maximizar la respuesta de potencia. Durante perturbaciones, puede incrementarse para proporcionar mayor amortiguamiento. El agente PI-DRL aprendera la politica optima de ajuste de inercia virtual que mantenga la conectividad algebraica λ₂ por encima del umbral critico de 0.2.</w:t>
      </w:r>
    </w:p>
    <w:p>
      <w:pPr>
        <w:pStyle w:val="Heading2"/>
      </w:pPr>
      <w:r>
        <w:t>3.3 Justificacion Economica-Financiera</w:t>
      </w:r>
    </w:p>
    <w:p>
      <w:pPr>
        <w:ind w:firstLine="720"/>
      </w:pPr>
      <w:r>
        <w:t>El analisis economico comparativo entre el escenario de transicion propuesto y el escenario de continuidad actual demuestra la viabilidad del Cuarteto Tecnologico Chino. El Costo Nivelado de Energia (LCOE) proyectado para 2050 de las tecnologias chinas es:</w:t>
      </w:r>
    </w:p>
    <w:p>
      <w:pPr>
        <w:ind w:firstLine="720"/>
      </w:pPr>
      <w:r>
        <w:t>Solar TOPCon bifacial con tracking: 35-45 USD/MWh (proyeccion IRENA/CATL). Eolica flotante offshore: 40-55 USD/MWh (proyeccion NREL/DTU Wind Energy). Almacenamiento Na-ion: 80-120 USD/MWh-ciclo (proyeccion CATL 2026).</w:t>
      </w:r>
    </w:p>
    <w:p>
      <w:pPr>
        <w:ind w:firstLine="720"/>
      </w:pPr>
      <w:r>
        <w:t>En contraste, el costo oportunidad de la generacion termica de respaldo durante eventos Nino es: Gas natural liquido (GNL): 150-300 USD/MWh (datos historicos XM S.A.). Diesel: 250-400 USD/MWh. Energia No Suministrada (ENS): 5,000-10,000 USD/MWh segun metodologia CREG.</w:t>
      </w:r>
    </w:p>
    <w:p>
      <w:pPr>
        <w:ind w:firstLine="720"/>
      </w:pPr>
      <w:r>
        <w:t>El punto de inflexion economico ocurre cuando el costo nivelado del sistema con Cuarteto Chino, ponderado por la probabilidad de eventos Nino severos, es inferior al costo esperado del sistema actual. Con una probabilidad historica de evento Nino severo del 15% y costos ENS ponderados, el analisis de sensibilidad indica que el Cuarteto Chino alcanza viabilidad estricta con WACC &lt; 10%.</w:t>
      </w:r>
    </w:p>
    <w:p>
      <w:r>
        <w:br w:type="page"/>
      </w:r>
    </w:p>
    <w:p>
      <w:pPr>
        <w:pStyle w:val="Heading1"/>
      </w:pPr>
      <w:bookmarkStart w:name="_Toc004" w:id="004"/>
      <w:r>
        <w:t>4. Pregunta de Investigacion y Objetivos</w:t>
      </w:r>
      <w:bookmarkEnd w:id="004"/>
    </w:p>
    <w:p>
      <w:pPr>
        <w:pStyle w:val="Heading2"/>
      </w:pPr>
      <w:r>
        <w:t>4.1 Pregunta Central de Investigacion</w:t>
      </w:r>
    </w:p>
    <w:p>
      <w:pPr>
        <w:ind w:left="360" w:right="360"/>
      </w:pPr>
      <w:r>
        <w:rPr>
          <w:i/>
        </w:rPr>
        <w:t>Es posible desarrollar un agente de Physics-Informed Deep Reinforcement Learning que, incorporando el Indice Oceanico del Nino (ONI) como variable de estado predictiva y modelando el cuarteto tecnologico chino (baterias Na-ion CATL, turbinas eolicas flotantes de 16-26 MW, solar bifacial con tracking, convertidores VSC-VSM con inercia virtual programable), optimice el despacho multirecurso del SIN colombiano minimizando simultaneamente la disipacion economica, la varianza de frecuencia, y las emisiones de CO2, demostrando mediante simulacion Monte Carlo de N &gt;= 10,000 realizaciones que dicho agente supera al benchmark SDDP en escenarios de estres climatico extremo (ONI &gt; +2.0)?</w:t>
      </w:r>
    </w:p>
    <w:p>
      <w:pPr>
        <w:pStyle w:val="Heading2"/>
      </w:pPr>
      <w:r>
        <w:t>4.2 Objetivo General</w:t>
      </w:r>
    </w:p>
    <w:p>
      <w:pPr>
        <w:ind w:firstLine="720"/>
      </w:pPr>
      <w:r>
        <w:t>Desarrollar un gemelo digital del Sistema Interconectado Nacional colombiano que integre el Indice Oceanico del Nino como variable predictiva en un agente de Physics-Informed Deep Reinforcement Learning, modelando el Cuarteto Tecnologico Chino para optimizar el despacho multirecurso y evaluar la resiliencia del sistema ante perturbaciones climaticas extremas.</w:t>
      </w:r>
    </w:p>
    <w:p>
      <w:pPr>
        <w:pStyle w:val="Heading2"/>
      </w:pPr>
      <w:r>
        <w:t>4.3 Objetivos Especificos</w:t>
      </w:r>
    </w:p>
    <w:tbl>
      <w:tblPr>
        <w:tblW w:w="5000" w:type="pct"/>
        <w:tblBorders>
          <w:top w:val="single" w:color="1a365d" w:sz="12"/>
          <w:left w:val="nil"/>
          <w:bottom w:val="single" w:color="1a365d" w:sz="12"/>
          <w:right w:val="nil"/>
          <w:insideH w:val="nil"/>
          <w:insideV w:val="nil"/>
        </w:tblBorders>
        <w:tblCellMar>
          <w:top w:w="120" w:type="dxa"/>
          <w:left w:w="150" w:type="dxa"/>
          <w:bottom w:w="120" w:type="dxa"/>
          <w:right w:w="150" w:type="dxa"/>
        </w:tblCellMar>
      </w:tblPr>
      <w:tblGrid>
        <w:gridCol w:w="2250"/>
        <w:gridCol w:w="2250"/>
        <w:gridCol w:w="2250"/>
        <w:gridCol w:w="2250"/>
      </w:tblGrid>
      <w:tr>
        <w:trPr>
          <w:tblHeader/>
          <w:trHeight w:val="400" w:hRule="atLeast"/>
        </w:trPr>
        <w:tc>
          <w:tcPr>
            <w:tcW w:w="0" w:type="auto"/>
            <w:tcBorders>
              <w:bottom w:val="single" w:color="1a365d" w:sz="6"/>
            </w:tcBorders>
            <w:shd w:val="clear" w:fill="f1f5f9"/>
            <w:vAlign w:val="center"/>
          </w:tcPr>
          <w:p>
            <w:pPr>
              <w:spacing w:before="0" w:after="0"/>
              <w:jc w:val="center"/>
            </w:pPr>
            <w:r>
              <w:rPr>
                <w:b/>
                <w:color w:val="1e293b"/>
                <w:sz w:val="22"/>
              </w:rPr>
              <w:t>Codigo</w:t>
            </w:r>
          </w:p>
        </w:tc>
        <w:tc>
          <w:tcPr>
            <w:tcW w:w="0" w:type="auto"/>
            <w:tcBorders>
              <w:bottom w:val="single" w:color="1a365d" w:sz="6"/>
            </w:tcBorders>
            <w:shd w:val="clear" w:fill="f1f5f9"/>
            <w:vAlign w:val="center"/>
          </w:tcPr>
          <w:p>
            <w:pPr>
              <w:spacing w:before="0" w:after="0"/>
              <w:jc w:val="center"/>
            </w:pPr>
            <w:r>
              <w:rPr>
                <w:b/>
                <w:color w:val="1e293b"/>
                <w:sz w:val="22"/>
              </w:rPr>
              <w:t>Objetivo</w:t>
            </w:r>
          </w:p>
        </w:tc>
        <w:tc>
          <w:tcPr>
            <w:tcW w:w="0" w:type="auto"/>
            <w:tcBorders>
              <w:bottom w:val="single" w:color="1a365d" w:sz="6"/>
            </w:tcBorders>
            <w:shd w:val="clear" w:fill="f1f5f9"/>
            <w:vAlign w:val="center"/>
          </w:tcPr>
          <w:p>
            <w:pPr>
              <w:spacing w:before="0" w:after="0"/>
              <w:jc w:val="center"/>
            </w:pPr>
            <w:r>
              <w:rPr>
                <w:b/>
                <w:color w:val="1e293b"/>
                <w:sz w:val="22"/>
              </w:rPr>
              <w:t>Metodologia</w:t>
            </w:r>
          </w:p>
        </w:tc>
        <w:tc>
          <w:tcPr>
            <w:tcW w:w="0" w:type="auto"/>
            <w:tcBorders>
              <w:bottom w:val="single" w:color="1a365d" w:sz="6"/>
            </w:tcBorders>
            <w:shd w:val="clear" w:fill="f1f5f9"/>
            <w:vAlign w:val="center"/>
          </w:tcPr>
          <w:p>
            <w:pPr>
              <w:spacing w:before="0" w:after="0"/>
              <w:jc w:val="center"/>
            </w:pPr>
            <w:r>
              <w:rPr>
                <w:b/>
                <w:color w:val="1e293b"/>
                <w:sz w:val="22"/>
              </w:rPr>
              <w:t>Entregable</w:t>
            </w:r>
          </w:p>
        </w:tc>
      </w:tr>
      <w:tr>
        <w:trPr>
          <w:trHeight w:val="360" w:hRule="atLeast"/>
        </w:trPr>
        <w:tc>
          <w:tcPr>
            <w:tcW w:w="0" w:type="auto"/>
            <w:vAlign w:val="center"/>
          </w:tcPr>
          <w:p>
            <w:pPr>
              <w:spacing w:before="0" w:after="0"/>
              <w:jc w:val="left"/>
            </w:pPr>
            <w:r>
              <w:rPr>
                <w:color w:val="1e293b"/>
                <w:sz w:val="22"/>
              </w:rPr>
              <w:t>OE1</w:t>
            </w:r>
          </w:p>
        </w:tc>
        <w:tc>
          <w:tcPr>
            <w:tcW w:w="0" w:type="auto"/>
            <w:vAlign w:val="center"/>
          </w:tcPr>
          <w:p>
            <w:pPr>
              <w:spacing w:before="0" w:after="0"/>
              <w:jc w:val="center"/>
            </w:pPr>
            <w:r>
              <w:rPr>
                <w:color w:val="1e293b"/>
                <w:sz w:val="22"/>
              </w:rPr>
              <w:t>Modelar recurso renovable chino para La Guajira</w:t>
            </w:r>
          </w:p>
        </w:tc>
        <w:tc>
          <w:tcPr>
            <w:tcW w:w="0" w:type="auto"/>
            <w:vAlign w:val="center"/>
          </w:tcPr>
          <w:p>
            <w:pPr>
              <w:spacing w:before="0" w:after="0"/>
              <w:jc w:val="center"/>
            </w:pPr>
            <w:r>
              <w:rPr>
                <w:color w:val="1e293b"/>
                <w:sz w:val="22"/>
              </w:rPr>
              <w:t>PyWake para eolica, PVLib para solar, ERA5 para datos meteorologicos</w:t>
            </w:r>
          </w:p>
        </w:tc>
        <w:tc>
          <w:tcPr>
            <w:tcW w:w="0" w:type="auto"/>
            <w:vAlign w:val="center"/>
          </w:tcPr>
          <w:p>
            <w:pPr>
              <w:spacing w:before="0" w:after="0"/>
              <w:jc w:val="center"/>
            </w:pPr>
            <w:r>
              <w:rPr>
                <w:color w:val="1e293b"/>
                <w:sz w:val="22"/>
              </w:rPr>
              <w:t>Atlas eolico-solar offshore con correccion por efectos de estela</w:t>
            </w:r>
          </w:p>
        </w:tc>
      </w:tr>
      <w:tr>
        <w:trPr>
          <w:trHeight w:val="360" w:hRule="atLeast"/>
        </w:trPr>
        <w:tc>
          <w:tcPr>
            <w:tcW w:w="0" w:type="auto"/>
            <w:vAlign w:val="center"/>
          </w:tcPr>
          <w:p>
            <w:pPr>
              <w:spacing w:before="0" w:after="0"/>
              <w:jc w:val="left"/>
            </w:pPr>
            <w:r>
              <w:rPr>
                <w:color w:val="1e293b"/>
                <w:sz w:val="22"/>
              </w:rPr>
              <w:t>OE2</w:t>
            </w:r>
          </w:p>
        </w:tc>
        <w:tc>
          <w:tcPr>
            <w:tcW w:w="0" w:type="auto"/>
            <w:vAlign w:val="center"/>
          </w:tcPr>
          <w:p>
            <w:pPr>
              <w:spacing w:before="0" w:after="0"/>
              <w:jc w:val="center"/>
            </w:pPr>
            <w:r>
              <w:rPr>
                <w:color w:val="1e293b"/>
                <w:sz w:val="22"/>
              </w:rPr>
              <w:t>Desarrollar pipeline ONI-SIN</w:t>
            </w:r>
          </w:p>
        </w:tc>
        <w:tc>
          <w:tcPr>
            <w:tcW w:w="0" w:type="auto"/>
            <w:vAlign w:val="center"/>
          </w:tcPr>
          <w:p>
            <w:pPr>
              <w:spacing w:before="0" w:after="0"/>
              <w:jc w:val="center"/>
            </w:pPr>
            <w:r>
              <w:rPr>
                <w:color w:val="1e293b"/>
                <w:sz w:val="22"/>
              </w:rPr>
              <w:t>LSTM/Transformer para prediccion, integracion ERA5+NOAA+XM</w:t>
            </w:r>
          </w:p>
        </w:tc>
        <w:tc>
          <w:tcPr>
            <w:tcW w:w="0" w:type="auto"/>
            <w:vAlign w:val="center"/>
          </w:tcPr>
          <w:p>
            <w:pPr>
              <w:spacing w:before="0" w:after="0"/>
              <w:jc w:val="center"/>
            </w:pPr>
            <w:r>
              <w:rPr>
                <w:color w:val="1e293b"/>
                <w:sz w:val="22"/>
              </w:rPr>
              <w:t>Dataset unificado 2015-2025, codigo ETL automatizado</w:t>
            </w:r>
          </w:p>
        </w:tc>
      </w:tr>
      <w:tr>
        <w:trPr>
          <w:trHeight w:val="360" w:hRule="atLeast"/>
        </w:trPr>
        <w:tc>
          <w:tcPr>
            <w:tcW w:w="0" w:type="auto"/>
            <w:vAlign w:val="center"/>
          </w:tcPr>
          <w:p>
            <w:pPr>
              <w:spacing w:before="0" w:after="0"/>
              <w:jc w:val="left"/>
            </w:pPr>
            <w:r>
              <w:rPr>
                <w:color w:val="1e293b"/>
                <w:sz w:val="22"/>
              </w:rPr>
              <w:t>OE3</w:t>
            </w:r>
          </w:p>
        </w:tc>
        <w:tc>
          <w:tcPr>
            <w:tcW w:w="0" w:type="auto"/>
            <w:vAlign w:val="center"/>
          </w:tcPr>
          <w:p>
            <w:pPr>
              <w:spacing w:before="0" w:after="0"/>
              <w:jc w:val="center"/>
            </w:pPr>
            <w:r>
              <w:rPr>
                <w:color w:val="1e293b"/>
                <w:sz w:val="22"/>
              </w:rPr>
              <w:t>Implementar agente PI-DRL</w:t>
            </w:r>
          </w:p>
        </w:tc>
        <w:tc>
          <w:tcPr>
            <w:tcW w:w="0" w:type="auto"/>
            <w:vAlign w:val="center"/>
          </w:tcPr>
          <w:p>
            <w:pPr>
              <w:spacing w:before="0" w:after="0"/>
              <w:jc w:val="center"/>
            </w:pPr>
            <w:r>
              <w:rPr>
                <w:color w:val="1e293b"/>
                <w:sz w:val="22"/>
              </w:rPr>
              <w:t>PPO con restricciones Kirchhoff via PINN, entrenamiento curriculum learning</w:t>
            </w:r>
          </w:p>
        </w:tc>
        <w:tc>
          <w:tcPr>
            <w:tcW w:w="0" w:type="auto"/>
            <w:vAlign w:val="center"/>
          </w:tcPr>
          <w:p>
            <w:pPr>
              <w:spacing w:before="0" w:after="0"/>
              <w:jc w:val="center"/>
            </w:pPr>
            <w:r>
              <w:rPr>
                <w:color w:val="1e293b"/>
                <w:sz w:val="22"/>
              </w:rPr>
              <w:t>Agente entrenado, comparativa vs SDDP con estadistica de significancia</w:t>
            </w:r>
          </w:p>
        </w:tc>
      </w:tr>
      <w:tr>
        <w:trPr>
          <w:trHeight w:val="360" w:hRule="atLeast"/>
        </w:trPr>
        <w:tc>
          <w:tcPr>
            <w:tcW w:w="0" w:type="auto"/>
            <w:vAlign w:val="center"/>
          </w:tcPr>
          <w:p>
            <w:pPr>
              <w:spacing w:before="0" w:after="0"/>
              <w:jc w:val="left"/>
            </w:pPr>
            <w:r>
              <w:rPr>
                <w:color w:val="1e293b"/>
                <w:sz w:val="22"/>
              </w:rPr>
              <w:t>OE4</w:t>
            </w:r>
          </w:p>
        </w:tc>
        <w:tc>
          <w:tcPr>
            <w:tcW w:w="0" w:type="auto"/>
            <w:vAlign w:val="center"/>
          </w:tcPr>
          <w:p>
            <w:pPr>
              <w:spacing w:before="0" w:after="0"/>
              <w:jc w:val="center"/>
            </w:pPr>
            <w:r>
              <w:rPr>
                <w:color w:val="1e293b"/>
                <w:sz w:val="22"/>
              </w:rPr>
              <w:t>Evaluar resiliencia economica</w:t>
            </w:r>
          </w:p>
        </w:tc>
        <w:tc>
          <w:tcPr>
            <w:tcW w:w="0" w:type="auto"/>
            <w:vAlign w:val="center"/>
          </w:tcPr>
          <w:p>
            <w:pPr>
              <w:spacing w:before="0" w:after="0"/>
              <w:jc w:val="center"/>
            </w:pPr>
            <w:r>
              <w:rPr>
                <w:color w:val="1e293b"/>
                <w:sz w:val="22"/>
              </w:rPr>
              <w:t>Simulacion Monte Carlo N&gt;=10,000 realizaciones, escenarios Nino 2015-16 y 2023-24</w:t>
            </w:r>
          </w:p>
        </w:tc>
        <w:tc>
          <w:tcPr>
            <w:tcW w:w="0" w:type="auto"/>
            <w:vAlign w:val="center"/>
          </w:tcPr>
          <w:p>
            <w:pPr>
              <w:spacing w:before="0" w:after="0"/>
              <w:jc w:val="center"/>
            </w:pPr>
            <w:r>
              <w:rPr>
                <w:color w:val="1e293b"/>
                <w:sz w:val="22"/>
              </w:rPr>
              <w:t>Informe de politica con metricas LCOE, ENS, emisiones, payback</w:t>
            </w:r>
          </w:p>
        </w:tc>
      </w:tr>
    </w:tbl>
    <w:p>
      <w:pPr>
        <w:pStyle w:val="Caption"/>
      </w:pPr>
      <w:r>
        <w:t>Tabla 1: Objetivos especificos, metodologia y entregables</w:t>
      </w:r>
    </w:p>
    <w:p>
      <w:pPr>
        <w:pStyle w:val="Heading2"/>
      </w:pPr>
      <w:r>
        <w:t>4.4 Hipotesis Formales</w:t>
      </w:r>
    </w:p>
    <w:p>
      <w:pPr>
        <w:ind w:firstLine="720"/>
      </w:pPr>
      <w:r>
        <w:t>H1 - Superioridad del Agente PI-DRL: Un agente PPO con restricciones fisicas de Kirchhoff embebidas en la funcion de perdida reduce el Costo Unitario de Generacion en &gt;=10% en escenarios de Nino fuerte (ONI &gt; 1.5) respecto al despacho SDDP de referencia, manteniendo la frecuencia dentro de los limites establecidos por el criterio ENTSO-E (±0.5 Hz) y preservando niveles de embalse por encima de la Curva Guia de XM en &gt;=85% del tiempo simulado.</w:t>
      </w:r>
    </w:p>
    <w:p>
      <w:pPr>
        <w:ind w:firstLine="720"/>
      </w:pPr>
      <w:r>
        <w:t>H2 - Extension del Umbral Critico de Penetracion: La incorporacion de inercia virtual VSM extiende el umbral critico de penetracion renovable en al menos 15 puntos porcentuales respecto al sistema sin control VSM, permitiendo operacion estable con penetracion renovable variable &gt;=70% sin requerir generacion termica de respaldo sincronizada.</w:t>
      </w:r>
    </w:p>
    <w:p>
      <w:pPr>
        <w:ind w:firstLine="720"/>
      </w:pPr>
      <w:r>
        <w:t>H3 - Valor Predictivo del ONI: La inclusion del ONI como dimension explicita del vector de estado mejora la preservacion de reservas hidricas en &gt;=15% respecto a modelos sin esta variable, durante los 90 dias previos al pico de sequia de un evento Nino de magnitud &gt;=1.0 ONI.</w:t>
      </w:r>
    </w:p>
    <w:p>
      <w:pPr>
        <w:ind w:firstLine="720"/>
      </w:pPr>
      <w:r>
        <w:t>H4 - Correccion por Efectos de Estela: El modelado de efectos de estela mediante PyWake reduce la estimacion de produccion del parque eolico de 10 GW en 10-20% respecto al modelo de turbina individual sin estela, siendo esta correccion estadisticamente significativa (p &lt; 0.05) para la planificacion energetica.</w:t>
      </w:r>
    </w:p>
    <w:p>
      <w:r>
        <w:br w:type="page"/>
      </w:r>
    </w:p>
    <w:p>
      <w:pPr>
        <w:pStyle w:val="Heading1"/>
      </w:pPr>
      <w:bookmarkStart w:name="_Toc005" w:id="005"/>
      <w:r>
        <w:t>5. Metodologia</w:t>
      </w:r>
      <w:bookmarkEnd w:id="005"/>
    </w:p>
    <w:p>
      <w:pPr>
        <w:pStyle w:val="Heading2"/>
      </w:pPr>
      <w:r>
        <w:t>5.1 El Cuarteto Tecnologico Chino: Justificacion Tecnica Detallada</w:t>
      </w:r>
    </w:p>
    <w:p>
      <w:pPr>
        <w:pStyle w:val="Heading3"/>
      </w:pPr>
      <w:r>
        <w:t>5.1.1 Baterias de Ion-Sodio (Na-ion) CATL</w:t>
      </w:r>
    </w:p>
    <w:p>
      <w:pPr>
        <w:ind w:firstLine="720"/>
      </w:pPr>
      <w:r>
        <w:t>Las baterias Na-ion representan una alternativa fundamental al litio por razones de abundancia de materias primas y estabilidad de cadena de suministro. El sodio es el sexto elemento mas abundante en la corteza terrestre, distribuido uniformemente globalmente, mientras que el litio se concentra en el Triangulo del Litio (Argentina, Bolivia, Chile) y Australia.</w:t>
      </w:r>
    </w:p>
    <w:p>
      <w:pPr>
        <w:ind w:firstLine="720"/>
      </w:pPr>
      <w:r>
        <w:t>Las especificaciones tecnicas de la segunda generacion CATL (2024) son: Densidad energetica: 200 Wh/kg a nivel de celda. Ciclos de vida: &gt;4,000 ciclos al 80% de capacidad remanente. Eficiencia round-trip: 92%. Rango SOC operacional: 10-90% (sin degradacion acelerada). Temperatura de operacion: -40°C a +70°C (ideal para el tropico). Tiempo de respuesta: &lt;100 ms para servicios de frecuencia.</w:t>
      </w:r>
    </w:p>
    <w:p>
      <w:pPr>
        <w:ind w:firstLine="720"/>
      </w:pPr>
      <w:r>
        <w:t>El modelo electrico equivalente utilizado sera el modelo Thevenin de segundo orden: V(t) = OCV(SOC) - I(t)*R0 - V1(t) - V2(t), donde dV1/dt = (I(t)/C1) - (V1/(R1*C1)) y dV2/dt = (I(t)/C2) - (V2/(R2*C2)). Los parametros R0, R1, R2, C1, C2 son funciones del SOC y temperatura calibradas con datos de CATL.</w:t>
      </w:r>
    </w:p>
    <w:p>
      <w:pPr>
        <w:pStyle w:val="Heading3"/>
      </w:pPr>
      <w:r>
        <w:t>5.1.2 Turbinas Eolicas Flotantes</w:t>
      </w:r>
    </w:p>
    <w:p>
      <w:pPr>
        <w:ind w:firstLine="720"/>
      </w:pPr>
      <w:r>
        <w:t>La turbina Mingyang MySE-26-260, instalada en agosto de 2025 en Shandong, China, representa el estado del arte en tecnologia eolica offshore flotante. Sus especificaciones son: Potencia nominal: 26 MW. Diametro de rotor: 310 m (area barrida ~75,000 m²). Altura del buje: 150 m sobre nivel del mar. Profundidad de operacion: 60-200 m. Factor de capacidad proyectado: &gt;45% en condiciones de La Guajira.</w:t>
      </w:r>
    </w:p>
    <w:p>
      <w:pPr>
        <w:ind w:firstLine="720"/>
      </w:pPr>
      <w:r>
        <w:t>El modelado del recurso eolico utilizara la distribucion de Weibull bivariada calibrada con datos ERA5: f(v; k, c) = (k/c)*(v/c)^(k-1)*exp[-(v/c)^k], donde k es el parametro de forma (tipicamente 2.0-2.5 en la region) y c es el parametro de escala.</w:t>
      </w:r>
    </w:p>
    <w:p>
      <w:pPr>
        <w:ind w:firstLine="720"/>
      </w:pPr>
      <w:r>
        <w:t>Los efectos de estela (wake effects) seran modelados mediante el modelo Bastankhah-Porte-Agel implementado en PyWake: Δu/u∞(x,r) = (1 - sqrt(1 - CT/(8σr²/D²))) * exp(-r²/(2σr²)), donde CT es el coeficiente de empuje, σr es el ancho gaussiano de la estela, D es el diametro del rotor, x es la distancia downstream, y r es la distancia radial desde el centro de la estela.</w:t>
      </w:r>
    </w:p>
    <w:p>
      <w:pPr>
        <w:pStyle w:val="Heading3"/>
      </w:pPr>
      <w:r>
        <w:t>5.1.3 Solar Bifacial con Seguimiento</w:t>
      </w:r>
    </w:p>
    <w:p>
      <w:pPr>
        <w:ind w:firstLine="720"/>
      </w:pPr>
      <w:r>
        <w:t>Los paneles TOPCon (Tunnel Oxide Passivated Contact) alcanzan eficiencias de celda &gt;26% mediante la pasivacion de contactos con oxido de silicio ultrafino. La tecnologia bifacial incorpora contactos en ambas caras de la celda, permitiendo capturar irradiancia reflejada desde el suelo.</w:t>
      </w:r>
    </w:p>
    <w:p>
      <w:pPr>
        <w:ind w:firstLine="720"/>
      </w:pPr>
      <w:r>
        <w:t>La irradiancia efectiva sobre un panel bifacial es: G_bifacial = G_frontal + BF * G_trasera, donde BF es el factor de bifacialidad (tipicamente 0.70-0.85 para tecnologia TOPCon) y G_trasera es la irradiancia en la cara trasera calculada mediante el modelo de Mermoud &amp; Lejeune con view factor del terreno y albedo de La Guajira (~0.25 para suelo arenoso).</w:t>
      </w:r>
    </w:p>
    <w:p>
      <w:pPr>
        <w:ind w:firstLine="720"/>
      </w:pPr>
      <w:r>
        <w:t>El algoritmo de backtracking optimiza el angulo de inclinacion para maximizar la captacion mientras evita sombreado entre hileras: θ_backtrack = arctan[(h * sin(α_sun))/(p - h * cos(α_sun))], donde h es la altura del panel, p es el paso entre hileras, y α_sun es el angulo de elevacion solar.</w:t>
      </w:r>
    </w:p>
    <w:p>
      <w:pPr>
        <w:pStyle w:val="Heading3"/>
      </w:pPr>
      <w:r>
        <w:t>5.1.4 Convertidores VSC-VSM</w:t>
      </w:r>
    </w:p>
    <w:p>
      <w:pPr>
        <w:ind w:firstLine="720"/>
      </w:pPr>
      <w:r>
        <w:t>El control VSM emula la dinamica de un generador sincrono virtual mediante la ecuacion: J_v * dω/dt = P_set - P_meas - D_v * (ω - ω_grid), donde J_v es la inercia virtual programmable (2-10 s), D_v es el coeficiente de amortiguamiento virtual, ω es la frecuencia angular del VSM, y ω_grid es la frecuencia de la red.</w:t>
      </w:r>
    </w:p>
    <w:p>
      <w:pPr>
        <w:ind w:firstLine="720"/>
      </w:pPr>
      <w:r>
        <w:t>La potencia activa inyectada es: P = (V_VSM * V_grid / X) * sin(δ), donde δ es el angulo de potencia entre el VSM y la red, y X es la reactancia de acoplamiento. El control de cascada implementa lazo interno de corriente (respuesta &lt;1 ms) y lazo externo de potencia/frecuencia (respuesta &lt;100 ms).</w:t>
      </w:r>
    </w:p>
    <w:p>
      <w:pPr>
        <w:pStyle w:val="Heading2"/>
      </w:pPr>
      <w:r>
        <w:t>5.2 Arquitectura del Sistema ENERTRACE-SIN</w:t>
      </w:r>
    </w:p>
    <w:p>
      <w:pPr>
        <w:pStyle w:val="Heading3"/>
      </w:pPr>
      <w:r>
        <w:t>5.2.1 Nivel 1: Anticipacion Climatica (Escalas: semanas-meses)</w:t>
      </w:r>
    </w:p>
    <w:p>
      <w:pPr>
        <w:ind w:firstLine="720"/>
      </w:pPr>
      <w:r>
        <w:t>El primer nivel del gemelo digital procesa datos climaticos para predecir aportes hidricos con horizontes de 1-6 meses. Las fuentes de datos son: ERA5 (ECMWF): Temperatura superficial del mar (SST), velocidad del viento, irradiancia solar, temperatura del aire a 2m, con resolucion horaria y espacial 0.25°. NOAA CPC: ONI, MEI, indices ENSO con resolucion mensual desde 1950. IDEAM: Caudales afluentes, precipitacion en cuencas hidrograficas.</w:t>
      </w:r>
    </w:p>
    <w:p>
      <w:pPr>
        <w:ind w:firstLine="720"/>
      </w:pPr>
      <w:r>
        <w:t>El modelo predictivo sera una red neuronal LSTM/Transformer entrenada para predecir el factor de aportes hidricos F_aportes = Q_real / Q_promedio como funcion del ONI actual y proyectado. El mapeo ONI -&gt; F_aportes es: F_aportes = max(0.4, 1.0 - 0.3 * max(0, ONI - 0.5)), calibrado con datos historicos de eventos Nino 1997-1998, 2015-2016, y 2023-2024.</w:t>
      </w:r>
    </w:p>
    <w:p>
      <w:pPr>
        <w:pStyle w:val="Heading3"/>
      </w:pPr>
      <w:r>
        <w:t>5.2.2 Nivel 2: Operacion y Estabilidad (Escalas: horas-segundos)</w:t>
      </w:r>
    </w:p>
    <w:p>
      <w:pPr>
        <w:ind w:firstLine="720"/>
      </w:pPr>
      <w:r>
        <w:t>El segundo nivel implementa el agente PI-DRL que optimiza el despacho en tiempo horario. El vector de estado de 56 dimensiones incluye:</w:t>
      </w:r>
    </w:p>
    <w:p>
      <w:pPr>
        <w:ind w:firstLine="720"/>
      </w:pPr>
      <w:r>
        <w:t>Niveles de embalse (20 dimensiones): Porcentaje de capacidad util de los principales embalses (Guavio, El Peñol, San Carlos, Chivor, Calima, etc.). Generacion por tecnologia (4 dimensiones): Hidroelectrica, termica, eolica, solar en MW. Variables de sistema (6 dimensiones): Demanda total, frecuencia, derivada de frecuencia, precio de bolsa promedio, SOC de baterias Na-ion, penetracion renovable. Variables ENSO (2 dimensiones): ONI actual, derivada del ONI. Variables de estabilidad (2 dimensiones): Conectividad algebraica λ₂, inercia efectiva total.</w:t>
      </w:r>
    </w:p>
    <w:p>
      <w:pPr>
        <w:ind w:firstLine="720"/>
      </w:pPr>
      <w:r>
        <w:t>El espacio de acciones incluye: Fraccion de despacho por tecnologia (4 acciones continuas en [0,1]). Ajuste de inercia virtual por nodo VSM (4 acciones continuas en [2,10] segundos).</w:t>
      </w:r>
    </w:p>
    <w:p>
      <w:pPr>
        <w:ind w:firstLine="720"/>
      </w:pPr>
      <w:r>
        <w:t>La funcion de recompensa multiobjetivo es: R(s,a) = -[0.4 * CUG_norm(s,a) + 0.2 * σ_f²_norm(s,a) + 0.2 * ENS_norm(s,a) + 0.1 * emissions_norm(s,a) + 0.1 * physics_penalty(s,a)], donde cada termino esta normalizado por su valor maximo historico y physics_penalty se calcula mediante el PINN.</w:t>
      </w:r>
    </w:p>
    <w:p>
      <w:pPr>
        <w:pStyle w:val="Heading2"/>
      </w:pPr>
      <w:r>
        <w:t>5.3 Pipeline de Datos y Validacion</w:t>
      </w:r>
    </w:p>
    <w:p>
      <w:pPr>
        <w:ind w:firstLine="720"/>
      </w:pPr>
      <w:r>
        <w:t>Los datos para entrenamiento y validacion provienen de: XM Sinergox API: Generacion por planta, CUG, precio de bolsa, niveles de embalse, frecuencia del sistema, con resolucion de 5 minutos desde 2015. ERA5 Copernicus: Variables meteorologicas con resolucion horaria desde 2000. NOAA Climate Prediction Center: Indices ENSO desde 1950.</w:t>
      </w:r>
    </w:p>
    <w:p>
      <w:pPr>
        <w:ind w:firstLine="720"/>
      </w:pPr>
      <w:r>
        <w:t>La validacion cruzada temporal se estructura como: Entrenamiento: 2015-2022 (incluye evento Nino 2015-2016). Validacion: 2023-2024 (evento Nino 2023-2024, datos no vistos durante entrenamiento). Test extremo: Sintesis de Super-Nino con estadisticas de 1997-1998.</w:t>
      </w:r>
    </w:p>
    <w:p>
      <w:r>
        <w:br w:type="page"/>
      </w:r>
    </w:p>
    <w:p>
      <w:pPr>
        <w:pStyle w:val="Heading1"/>
      </w:pPr>
      <w:bookmarkStart w:name="_Toc006" w:id="006"/>
      <w:r>
        <w:t>6. Resultados Esperados y Metricas de Exito</w:t>
      </w:r>
      <w:bookmarkEnd w:id="006"/>
    </w:p>
    <w:p>
      <w:pPr>
        <w:pStyle w:val="Heading2"/>
      </w:pPr>
      <w:r>
        <w:t>6.1 Resultados Cientificos Cuantificables</w:t>
      </w:r>
    </w:p>
    <w:tbl>
      <w:tblPr>
        <w:tblW w:w="5000" w:type="pct"/>
        <w:tblBorders>
          <w:top w:val="single" w:color="1a365d" w:sz="12"/>
          <w:left w:val="nil"/>
          <w:bottom w:val="single" w:color="1a365d" w:sz="12"/>
          <w:right w:val="nil"/>
          <w:insideH w:val="nil"/>
          <w:insideV w:val="nil"/>
        </w:tblBorders>
        <w:tblCellMar>
          <w:top w:w="120" w:type="dxa"/>
          <w:left w:w="150" w:type="dxa"/>
          <w:bottom w:w="120" w:type="dxa"/>
          <w:right w:w="150" w:type="dxa"/>
        </w:tblCellMar>
      </w:tblPr>
      <w:tblGrid>
        <w:gridCol w:w="3000"/>
        <w:gridCol w:w="3000"/>
        <w:gridCol w:w="3000"/>
      </w:tblGrid>
      <w:tr>
        <w:trPr>
          <w:tblHeader/>
          <w:trHeight w:val="400" w:hRule="atLeast"/>
        </w:trPr>
        <w:tc>
          <w:tcPr>
            <w:tcW w:w="0" w:type="auto"/>
            <w:tcBorders>
              <w:bottom w:val="single" w:color="1a365d" w:sz="6"/>
            </w:tcBorders>
            <w:shd w:val="clear" w:fill="f1f5f9"/>
            <w:vAlign w:val="center"/>
          </w:tcPr>
          <w:p>
            <w:pPr>
              <w:spacing w:before="0" w:after="0"/>
              <w:jc w:val="center"/>
            </w:pPr>
            <w:r>
              <w:rPr>
                <w:b/>
                <w:color w:val="1e293b"/>
                <w:sz w:val="22"/>
              </w:rPr>
              <w:t>Resultado</w:t>
            </w:r>
          </w:p>
        </w:tc>
        <w:tc>
          <w:tcPr>
            <w:tcW w:w="0" w:type="auto"/>
            <w:tcBorders>
              <w:bottom w:val="single" w:color="1a365d" w:sz="6"/>
            </w:tcBorders>
            <w:shd w:val="clear" w:fill="f1f5f9"/>
            <w:vAlign w:val="center"/>
          </w:tcPr>
          <w:p>
            <w:pPr>
              <w:spacing w:before="0" w:after="0"/>
              <w:jc w:val="center"/>
            </w:pPr>
            <w:r>
              <w:rPr>
                <w:b/>
                <w:color w:val="1e293b"/>
                <w:sz w:val="22"/>
              </w:rPr>
              <w:t>Valor Esperado</w:t>
            </w:r>
          </w:p>
        </w:tc>
        <w:tc>
          <w:tcPr>
            <w:tcW w:w="0" w:type="auto"/>
            <w:tcBorders>
              <w:bottom w:val="single" w:color="1a365d" w:sz="6"/>
            </w:tcBorders>
            <w:shd w:val="clear" w:fill="f1f5f9"/>
            <w:vAlign w:val="center"/>
          </w:tcPr>
          <w:p>
            <w:pPr>
              <w:spacing w:before="0" w:after="0"/>
              <w:jc w:val="center"/>
            </w:pPr>
            <w:r>
              <w:rPr>
                <w:b/>
                <w:color w:val="1e293b"/>
                <w:sz w:val="22"/>
              </w:rPr>
              <w:t>Metrica de Exito</w:t>
            </w:r>
          </w:p>
        </w:tc>
      </w:tr>
      <w:tr>
        <w:trPr>
          <w:trHeight w:val="360" w:hRule="atLeast"/>
        </w:trPr>
        <w:tc>
          <w:tcPr>
            <w:tcW w:w="0" w:type="auto"/>
            <w:vAlign w:val="center"/>
          </w:tcPr>
          <w:p>
            <w:pPr>
              <w:spacing w:before="0" w:after="0"/>
              <w:jc w:val="left"/>
            </w:pPr>
            <w:r>
              <w:rPr>
                <w:color w:val="1e293b"/>
                <w:sz w:val="22"/>
              </w:rPr>
              <w:t>Reduccion CUG en Nino fuerte</w:t>
            </w:r>
          </w:p>
        </w:tc>
        <w:tc>
          <w:tcPr>
            <w:tcW w:w="0" w:type="auto"/>
            <w:vAlign w:val="center"/>
          </w:tcPr>
          <w:p>
            <w:pPr>
              <w:spacing w:before="0" w:after="0"/>
              <w:jc w:val="center"/>
            </w:pPr>
            <w:r>
              <w:rPr>
                <w:color w:val="1e293b"/>
                <w:sz w:val="22"/>
              </w:rPr>
              <w:t>&gt;=10%</w:t>
            </w:r>
          </w:p>
        </w:tc>
        <w:tc>
          <w:tcPr>
            <w:tcW w:w="0" w:type="auto"/>
            <w:vAlign w:val="center"/>
          </w:tcPr>
          <w:p>
            <w:pPr>
              <w:spacing w:before="0" w:after="0"/>
              <w:jc w:val="center"/>
            </w:pPr>
            <w:r>
              <w:rPr>
                <w:color w:val="1e293b"/>
                <w:sz w:val="22"/>
              </w:rPr>
              <w:t>vs SDDP de referencia</w:t>
            </w:r>
          </w:p>
        </w:tc>
      </w:tr>
      <w:tr>
        <w:trPr>
          <w:trHeight w:val="360" w:hRule="atLeast"/>
        </w:trPr>
        <w:tc>
          <w:tcPr>
            <w:tcW w:w="0" w:type="auto"/>
            <w:vAlign w:val="center"/>
          </w:tcPr>
          <w:p>
            <w:pPr>
              <w:spacing w:before="0" w:after="0"/>
              <w:jc w:val="left"/>
            </w:pPr>
            <w:r>
              <w:rPr>
                <w:color w:val="1e293b"/>
                <w:sz w:val="22"/>
              </w:rPr>
              <w:t>Preservacion reservas hidricas</w:t>
            </w:r>
          </w:p>
        </w:tc>
        <w:tc>
          <w:tcPr>
            <w:tcW w:w="0" w:type="auto"/>
            <w:vAlign w:val="center"/>
          </w:tcPr>
          <w:p>
            <w:pPr>
              <w:spacing w:before="0" w:after="0"/>
              <w:jc w:val="center"/>
            </w:pPr>
            <w:r>
              <w:rPr>
                <w:color w:val="1e293b"/>
                <w:sz w:val="22"/>
              </w:rPr>
              <w:t>&gt;=15%</w:t>
            </w:r>
          </w:p>
        </w:tc>
        <w:tc>
          <w:tcPr>
            <w:tcW w:w="0" w:type="auto"/>
            <w:vAlign w:val="center"/>
          </w:tcPr>
          <w:p>
            <w:pPr>
              <w:spacing w:before="0" w:after="0"/>
              <w:jc w:val="center"/>
            </w:pPr>
            <w:r>
              <w:rPr>
                <w:color w:val="1e293b"/>
                <w:sz w:val="22"/>
              </w:rPr>
              <w:t>90 dias previos a pico sequia</w:t>
            </w:r>
          </w:p>
        </w:tc>
      </w:tr>
      <w:tr>
        <w:trPr>
          <w:trHeight w:val="360" w:hRule="atLeast"/>
        </w:trPr>
        <w:tc>
          <w:tcPr>
            <w:tcW w:w="0" w:type="auto"/>
            <w:vAlign w:val="center"/>
          </w:tcPr>
          <w:p>
            <w:pPr>
              <w:spacing w:before="0" w:after="0"/>
              <w:jc w:val="left"/>
            </w:pPr>
            <w:r>
              <w:rPr>
                <w:color w:val="1e293b"/>
                <w:sz w:val="22"/>
              </w:rPr>
              <w:t>Extension umbral penetracion renovable</w:t>
            </w:r>
          </w:p>
        </w:tc>
        <w:tc>
          <w:tcPr>
            <w:tcW w:w="0" w:type="auto"/>
            <w:vAlign w:val="center"/>
          </w:tcPr>
          <w:p>
            <w:pPr>
              <w:spacing w:before="0" w:after="0"/>
              <w:jc w:val="center"/>
            </w:pPr>
            <w:r>
              <w:rPr>
                <w:color w:val="1e293b"/>
                <w:sz w:val="22"/>
              </w:rPr>
              <w:t>&gt;=15 puntos %</w:t>
            </w:r>
          </w:p>
        </w:tc>
        <w:tc>
          <w:tcPr>
            <w:tcW w:w="0" w:type="auto"/>
            <w:vAlign w:val="center"/>
          </w:tcPr>
          <w:p>
            <w:pPr>
              <w:spacing w:before="0" w:after="0"/>
              <w:jc w:val="center"/>
            </w:pPr>
            <w:r>
              <w:rPr>
                <w:color w:val="1e293b"/>
                <w:sz w:val="22"/>
              </w:rPr>
              <w:t>con VSM vs sin VSM</w:t>
            </w:r>
          </w:p>
        </w:tc>
      </w:tr>
      <w:tr>
        <w:trPr>
          <w:trHeight w:val="360" w:hRule="atLeast"/>
        </w:trPr>
        <w:tc>
          <w:tcPr>
            <w:tcW w:w="0" w:type="auto"/>
            <w:vAlign w:val="center"/>
          </w:tcPr>
          <w:p>
            <w:pPr>
              <w:spacing w:before="0" w:after="0"/>
              <w:jc w:val="left"/>
            </w:pPr>
            <w:r>
              <w:rPr>
                <w:color w:val="1e293b"/>
                <w:sz w:val="22"/>
              </w:rPr>
              <w:t>Tiempo inferencia agente</w:t>
            </w:r>
          </w:p>
        </w:tc>
        <w:tc>
          <w:tcPr>
            <w:tcW w:w="0" w:type="auto"/>
            <w:vAlign w:val="center"/>
          </w:tcPr>
          <w:p>
            <w:pPr>
              <w:spacing w:before="0" w:after="0"/>
              <w:jc w:val="center"/>
            </w:pPr>
            <w:r>
              <w:rPr>
                <w:color w:val="1e293b"/>
                <w:sz w:val="22"/>
              </w:rPr>
              <w:t>&lt;2 segundos</w:t>
            </w:r>
          </w:p>
        </w:tc>
        <w:tc>
          <w:tcPr>
            <w:tcW w:w="0" w:type="auto"/>
            <w:vAlign w:val="center"/>
          </w:tcPr>
          <w:p>
            <w:pPr>
              <w:spacing w:before="0" w:after="0"/>
              <w:jc w:val="center"/>
            </w:pPr>
            <w:r>
              <w:rPr>
                <w:color w:val="1e293b"/>
                <w:sz w:val="22"/>
              </w:rPr>
              <w:t>por hora de operacion</w:t>
            </w:r>
          </w:p>
        </w:tc>
      </w:tr>
      <w:tr>
        <w:trPr>
          <w:trHeight w:val="360" w:hRule="atLeast"/>
        </w:trPr>
        <w:tc>
          <w:tcPr>
            <w:tcW w:w="0" w:type="auto"/>
            <w:vAlign w:val="center"/>
          </w:tcPr>
          <w:p>
            <w:pPr>
              <w:spacing w:before="0" w:after="0"/>
              <w:jc w:val="left"/>
            </w:pPr>
            <w:r>
              <w:rPr>
                <w:color w:val="1e293b"/>
                <w:sz w:val="22"/>
              </w:rPr>
              <w:t>Energia No Suministrada</w:t>
            </w:r>
          </w:p>
        </w:tc>
        <w:tc>
          <w:tcPr>
            <w:tcW w:w="0" w:type="auto"/>
            <w:vAlign w:val="center"/>
          </w:tcPr>
          <w:p>
            <w:pPr>
              <w:spacing w:before="0" w:after="0"/>
              <w:jc w:val="center"/>
            </w:pPr>
            <w:r>
              <w:rPr>
                <w:color w:val="1e293b"/>
                <w:sz w:val="22"/>
              </w:rPr>
              <w:t>&lt;50 GWh/año</w:t>
            </w:r>
          </w:p>
        </w:tc>
        <w:tc>
          <w:tcPr>
            <w:tcW w:w="0" w:type="auto"/>
            <w:vAlign w:val="center"/>
          </w:tcPr>
          <w:p>
            <w:pPr>
              <w:spacing w:before="0" w:after="0"/>
              <w:jc w:val="center"/>
            </w:pPr>
            <w:r>
              <w:rPr>
                <w:color w:val="1e293b"/>
                <w:sz w:val="22"/>
              </w:rPr>
              <w:t>en escenarios Nino extremo</w:t>
            </w:r>
          </w:p>
        </w:tc>
      </w:tr>
      <w:tr>
        <w:trPr>
          <w:trHeight w:val="360" w:hRule="atLeast"/>
        </w:trPr>
        <w:tc>
          <w:tcPr>
            <w:tcW w:w="0" w:type="auto"/>
            <w:vAlign w:val="center"/>
          </w:tcPr>
          <w:p>
            <w:pPr>
              <w:spacing w:before="0" w:after="0"/>
              <w:jc w:val="left"/>
            </w:pPr>
            <w:r>
              <w:rPr>
                <w:color w:val="1e293b"/>
                <w:sz w:val="22"/>
              </w:rPr>
              <w:t>Frecuencia dentro de limites ENTSO-E</w:t>
            </w:r>
          </w:p>
        </w:tc>
        <w:tc>
          <w:tcPr>
            <w:tcW w:w="0" w:type="auto"/>
            <w:vAlign w:val="center"/>
          </w:tcPr>
          <w:p>
            <w:pPr>
              <w:spacing w:before="0" w:after="0"/>
              <w:jc w:val="center"/>
            </w:pPr>
            <w:r>
              <w:rPr>
                <w:color w:val="1e293b"/>
                <w:sz w:val="22"/>
              </w:rPr>
              <w:t>&gt;=95%</w:t>
            </w:r>
          </w:p>
        </w:tc>
        <w:tc>
          <w:tcPr>
            <w:tcW w:w="0" w:type="auto"/>
            <w:vAlign w:val="center"/>
          </w:tcPr>
          <w:p>
            <w:pPr>
              <w:spacing w:before="0" w:after="0"/>
              <w:jc w:val="center"/>
            </w:pPr>
            <w:r>
              <w:rPr>
                <w:color w:val="1e293b"/>
                <w:sz w:val="22"/>
              </w:rPr>
              <w:t>±0.5 Hz</w:t>
            </w:r>
          </w:p>
        </w:tc>
      </w:tr>
    </w:tbl>
    <w:p>
      <w:pPr>
        <w:pStyle w:val="Caption"/>
      </w:pPr>
      <w:r>
        <w:t>Tabla 2: Resultados esperados y metricas de exito</w:t>
      </w:r>
    </w:p>
    <w:p>
      <w:pPr>
        <w:pStyle w:val="Heading2"/>
      </w:pPr>
      <w:r>
        <w:t>6.2 Comparativa con el Sistema Actual</w:t>
      </w:r>
    </w:p>
    <w:tbl>
      <w:tblPr>
        <w:tblW w:w="5000" w:type="pct"/>
        <w:tblBorders>
          <w:top w:val="single" w:color="1a365d" w:sz="12"/>
          <w:left w:val="nil"/>
          <w:bottom w:val="single" w:color="1a365d" w:sz="12"/>
          <w:right w:val="nil"/>
          <w:insideH w:val="nil"/>
          <w:insideV w:val="nil"/>
        </w:tblBorders>
        <w:tblCellMar>
          <w:top w:w="120" w:type="dxa"/>
          <w:left w:w="150" w:type="dxa"/>
          <w:bottom w:w="120" w:type="dxa"/>
          <w:right w:w="150" w:type="dxa"/>
        </w:tblCellMar>
      </w:tblPr>
      <w:tblGrid>
        <w:gridCol w:w="3000"/>
        <w:gridCol w:w="3000"/>
        <w:gridCol w:w="3000"/>
      </w:tblGrid>
      <w:tr>
        <w:trPr>
          <w:tblHeader/>
          <w:trHeight w:val="400" w:hRule="atLeast"/>
        </w:trPr>
        <w:tc>
          <w:tcPr>
            <w:tcW w:w="0" w:type="auto"/>
            <w:tcBorders>
              <w:bottom w:val="single" w:color="1a365d" w:sz="6"/>
            </w:tcBorders>
            <w:shd w:val="clear" w:fill="f1f5f9"/>
            <w:vAlign w:val="center"/>
          </w:tcPr>
          <w:p>
            <w:pPr>
              <w:spacing w:before="0" w:after="0"/>
              <w:jc w:val="center"/>
            </w:pPr>
            <w:r>
              <w:rPr>
                <w:b/>
                <w:color w:val="1e293b"/>
                <w:sz w:val="22"/>
              </w:rPr>
              <w:t>Indicador</w:t>
            </w:r>
          </w:p>
        </w:tc>
        <w:tc>
          <w:tcPr>
            <w:tcW w:w="0" w:type="auto"/>
            <w:tcBorders>
              <w:bottom w:val="single" w:color="1a365d" w:sz="6"/>
            </w:tcBorders>
            <w:shd w:val="clear" w:fill="f1f5f9"/>
            <w:vAlign w:val="center"/>
          </w:tcPr>
          <w:p>
            <w:pPr>
              <w:spacing w:before="0" w:after="0"/>
              <w:jc w:val="center"/>
            </w:pPr>
            <w:r>
              <w:rPr>
                <w:b/>
                <w:color w:val="1e293b"/>
                <w:sz w:val="22"/>
              </w:rPr>
              <w:t>Sistema Actual (2025)</w:t>
            </w:r>
          </w:p>
        </w:tc>
        <w:tc>
          <w:tcPr>
            <w:tcW w:w="0" w:type="auto"/>
            <w:tcBorders>
              <w:bottom w:val="single" w:color="1a365d" w:sz="6"/>
            </w:tcBorders>
            <w:shd w:val="clear" w:fill="f1f5f9"/>
            <w:vAlign w:val="center"/>
          </w:tcPr>
          <w:p>
            <w:pPr>
              <w:spacing w:before="0" w:after="0"/>
              <w:jc w:val="center"/>
            </w:pPr>
            <w:r>
              <w:rPr>
                <w:b/>
                <w:color w:val="1e293b"/>
                <w:sz w:val="22"/>
              </w:rPr>
              <w:t>Escenario ENERTRACE-SIN (2050)</w:t>
            </w:r>
          </w:p>
        </w:tc>
      </w:tr>
      <w:tr>
        <w:trPr>
          <w:trHeight w:val="360" w:hRule="atLeast"/>
        </w:trPr>
        <w:tc>
          <w:tcPr>
            <w:tcW w:w="0" w:type="auto"/>
            <w:vAlign w:val="center"/>
          </w:tcPr>
          <w:p>
            <w:pPr>
              <w:spacing w:before="0" w:after="0"/>
              <w:jc w:val="left"/>
            </w:pPr>
            <w:r>
              <w:rPr>
                <w:color w:val="1e293b"/>
                <w:sz w:val="22"/>
              </w:rPr>
              <w:t>Precio bolsa promedio (Nino fuerte)</w:t>
            </w:r>
          </w:p>
        </w:tc>
        <w:tc>
          <w:tcPr>
            <w:tcW w:w="0" w:type="auto"/>
            <w:vAlign w:val="center"/>
          </w:tcPr>
          <w:p>
            <w:pPr>
              <w:spacing w:before="0" w:after="0"/>
              <w:jc w:val="center"/>
            </w:pPr>
            <w:r>
              <w:rPr>
                <w:color w:val="1e293b"/>
                <w:sz w:val="22"/>
              </w:rPr>
              <w:t>&gt;$800 COP/kWh</w:t>
            </w:r>
          </w:p>
        </w:tc>
        <w:tc>
          <w:tcPr>
            <w:tcW w:w="0" w:type="auto"/>
            <w:vAlign w:val="center"/>
          </w:tcPr>
          <w:p>
            <w:pPr>
              <w:spacing w:before="0" w:after="0"/>
              <w:jc w:val="center"/>
            </w:pPr>
            <w:r>
              <w:rPr>
                <w:color w:val="1e293b"/>
                <w:sz w:val="22"/>
              </w:rPr>
              <w:t>&lt;$600 COP/kWh (-25%)</w:t>
            </w:r>
          </w:p>
        </w:tc>
      </w:tr>
      <w:tr>
        <w:trPr>
          <w:trHeight w:val="360" w:hRule="atLeast"/>
        </w:trPr>
        <w:tc>
          <w:tcPr>
            <w:tcW w:w="0" w:type="auto"/>
            <w:vAlign w:val="center"/>
          </w:tcPr>
          <w:p>
            <w:pPr>
              <w:spacing w:before="0" w:after="0"/>
              <w:jc w:val="left"/>
            </w:pPr>
            <w:r>
              <w:rPr>
                <w:color w:val="1e293b"/>
                <w:sz w:val="22"/>
              </w:rPr>
              <w:t>Reserva hidrica critica en sequia</w:t>
            </w:r>
          </w:p>
        </w:tc>
        <w:tc>
          <w:tcPr>
            <w:tcW w:w="0" w:type="auto"/>
            <w:vAlign w:val="center"/>
          </w:tcPr>
          <w:p>
            <w:pPr>
              <w:spacing w:before="0" w:after="0"/>
              <w:jc w:val="center"/>
            </w:pPr>
            <w:r>
              <w:rPr>
                <w:color w:val="1e293b"/>
                <w:sz w:val="22"/>
              </w:rPr>
              <w:t>15-20% capacidad util</w:t>
            </w:r>
          </w:p>
        </w:tc>
        <w:tc>
          <w:tcPr>
            <w:tcW w:w="0" w:type="auto"/>
            <w:vAlign w:val="center"/>
          </w:tcPr>
          <w:p>
            <w:pPr>
              <w:spacing w:before="0" w:after="0"/>
              <w:jc w:val="center"/>
            </w:pPr>
            <w:r>
              <w:rPr>
                <w:color w:val="1e293b"/>
                <w:sz w:val="22"/>
              </w:rPr>
              <w:t>+15-20 puntos adicionales</w:t>
            </w:r>
          </w:p>
        </w:tc>
      </w:tr>
      <w:tr>
        <w:trPr>
          <w:trHeight w:val="360" w:hRule="atLeast"/>
        </w:trPr>
        <w:tc>
          <w:tcPr>
            <w:tcW w:w="0" w:type="auto"/>
            <w:vAlign w:val="center"/>
          </w:tcPr>
          <w:p>
            <w:pPr>
              <w:spacing w:before="0" w:after="0"/>
              <w:jc w:val="left"/>
            </w:pPr>
            <w:r>
              <w:rPr>
                <w:color w:val="1e293b"/>
                <w:sz w:val="22"/>
              </w:rPr>
              <w:t>Energia No Suministrada (ENS)</w:t>
            </w:r>
          </w:p>
        </w:tc>
        <w:tc>
          <w:tcPr>
            <w:tcW w:w="0" w:type="auto"/>
            <w:vAlign w:val="center"/>
          </w:tcPr>
          <w:p>
            <w:pPr>
              <w:spacing w:before="0" w:after="0"/>
              <w:jc w:val="center"/>
            </w:pPr>
            <w:r>
              <w:rPr>
                <w:color w:val="1e293b"/>
                <w:sz w:val="22"/>
              </w:rPr>
              <w:t>&gt;500 GWh/año riesgo</w:t>
            </w:r>
          </w:p>
        </w:tc>
        <w:tc>
          <w:tcPr>
            <w:tcW w:w="0" w:type="auto"/>
            <w:vAlign w:val="center"/>
          </w:tcPr>
          <w:p>
            <w:pPr>
              <w:spacing w:before="0" w:after="0"/>
              <w:jc w:val="center"/>
            </w:pPr>
            <w:r>
              <w:rPr>
                <w:color w:val="1e293b"/>
                <w:sz w:val="22"/>
              </w:rPr>
              <w:t>&lt;50 GWh/año (-90%)</w:t>
            </w:r>
          </w:p>
        </w:tc>
      </w:tr>
      <w:tr>
        <w:trPr>
          <w:trHeight w:val="360" w:hRule="atLeast"/>
        </w:trPr>
        <w:tc>
          <w:tcPr>
            <w:tcW w:w="0" w:type="auto"/>
            <w:vAlign w:val="center"/>
          </w:tcPr>
          <w:p>
            <w:pPr>
              <w:spacing w:before="0" w:after="0"/>
              <w:jc w:val="left"/>
            </w:pPr>
            <w:r>
              <w:rPr>
                <w:color w:val="1e293b"/>
                <w:sz w:val="22"/>
              </w:rPr>
              <w:t>Factor emisiones SIN</w:t>
            </w:r>
          </w:p>
        </w:tc>
        <w:tc>
          <w:tcPr>
            <w:tcW w:w="0" w:type="auto"/>
            <w:vAlign w:val="center"/>
          </w:tcPr>
          <w:p>
            <w:pPr>
              <w:spacing w:before="0" w:after="0"/>
              <w:jc w:val="center"/>
            </w:pPr>
            <w:r>
              <w:rPr>
                <w:color w:val="1e293b"/>
                <w:sz w:val="22"/>
              </w:rPr>
              <w:t>0.16 tCO2/MWh</w:t>
            </w:r>
          </w:p>
        </w:tc>
        <w:tc>
          <w:tcPr>
            <w:tcW w:w="0" w:type="auto"/>
            <w:vAlign w:val="center"/>
          </w:tcPr>
          <w:p>
            <w:pPr>
              <w:spacing w:before="0" w:after="0"/>
              <w:jc w:val="center"/>
            </w:pPr>
            <w:r>
              <w:rPr>
                <w:color w:val="1e293b"/>
                <w:sz w:val="22"/>
              </w:rPr>
              <w:t>0.05 tCO2/MWh (-69%)</w:t>
            </w:r>
          </w:p>
        </w:tc>
      </w:tr>
      <w:tr>
        <w:trPr>
          <w:trHeight w:val="360" w:hRule="atLeast"/>
        </w:trPr>
        <w:tc>
          <w:tcPr>
            <w:tcW w:w="0" w:type="auto"/>
            <w:vAlign w:val="center"/>
          </w:tcPr>
          <w:p>
            <w:pPr>
              <w:spacing w:before="0" w:after="0"/>
              <w:jc w:val="left"/>
            </w:pPr>
            <w:r>
              <w:rPr>
                <w:color w:val="1e293b"/>
                <w:sz w:val="22"/>
              </w:rPr>
              <w:t>Tiempo decision despacho</w:t>
            </w:r>
          </w:p>
        </w:tc>
        <w:tc>
          <w:tcPr>
            <w:tcW w:w="0" w:type="auto"/>
            <w:vAlign w:val="center"/>
          </w:tcPr>
          <w:p>
            <w:pPr>
              <w:spacing w:before="0" w:after="0"/>
              <w:jc w:val="center"/>
            </w:pPr>
            <w:r>
              <w:rPr>
                <w:color w:val="1e293b"/>
                <w:sz w:val="22"/>
              </w:rPr>
              <w:t>Horas (SDDP batch)</w:t>
            </w:r>
          </w:p>
        </w:tc>
        <w:tc>
          <w:tcPr>
            <w:tcW w:w="0" w:type="auto"/>
            <w:vAlign w:val="center"/>
          </w:tcPr>
          <w:p>
            <w:pPr>
              <w:spacing w:before="0" w:after="0"/>
              <w:jc w:val="center"/>
            </w:pPr>
            <w:r>
              <w:rPr>
                <w:color w:val="1e293b"/>
                <w:sz w:val="22"/>
              </w:rPr>
              <w:t>&lt;2 segundos (IA tiempo real)</w:t>
            </w:r>
          </w:p>
        </w:tc>
      </w:tr>
      <w:tr>
        <w:trPr>
          <w:trHeight w:val="360" w:hRule="atLeast"/>
        </w:trPr>
        <w:tc>
          <w:tcPr>
            <w:tcW w:w="0" w:type="auto"/>
            <w:vAlign w:val="center"/>
          </w:tcPr>
          <w:p>
            <w:pPr>
              <w:spacing w:before="0" w:after="0"/>
              <w:jc w:val="left"/>
            </w:pPr>
            <w:r>
              <w:rPr>
                <w:color w:val="1e293b"/>
                <w:sz w:val="22"/>
              </w:rPr>
              <w:t>Payback inversion cuarteto chino</w:t>
            </w:r>
          </w:p>
        </w:tc>
        <w:tc>
          <w:tcPr>
            <w:tcW w:w="0" w:type="auto"/>
            <w:vAlign w:val="center"/>
          </w:tcPr>
          <w:p>
            <w:pPr>
              <w:spacing w:before="0" w:after="0"/>
              <w:jc w:val="center"/>
            </w:pPr>
            <w:r>
              <w:rPr>
                <w:color w:val="1e293b"/>
                <w:sz w:val="22"/>
              </w:rPr>
              <w:t>N/A</w:t>
            </w:r>
          </w:p>
        </w:tc>
        <w:tc>
          <w:tcPr>
            <w:tcW w:w="0" w:type="auto"/>
            <w:vAlign w:val="center"/>
          </w:tcPr>
          <w:p>
            <w:pPr>
              <w:spacing w:before="0" w:after="0"/>
              <w:jc w:val="center"/>
            </w:pPr>
            <w:r>
              <w:rPr>
                <w:color w:val="1e293b"/>
                <w:sz w:val="22"/>
              </w:rPr>
              <w:t>5.4 años</w:t>
            </w:r>
          </w:p>
        </w:tc>
      </w:tr>
    </w:tbl>
    <w:p>
      <w:pPr>
        <w:pStyle w:val="Caption"/>
      </w:pPr>
      <w:r>
        <w:t>Tabla 3: Comparativa Sistema Actual vs Escenario ENERTRACE-SIN 2050</w:t>
      </w:r>
    </w:p>
    <w:p>
      <w:r>
        <w:br w:type="page"/>
      </w:r>
    </w:p>
    <w:p>
      <w:pPr>
        <w:pStyle w:val="Heading1"/>
      </w:pPr>
      <w:bookmarkStart w:name="_Toc007" w:id="007"/>
      <w:r>
        <w:t>7. Cronograma y Presupuesto</w:t>
      </w:r>
      <w:bookmarkEnd w:id="007"/>
    </w:p>
    <w:p>
      <w:pPr>
        <w:pStyle w:val="Heading2"/>
      </w:pPr>
      <w:r>
        <w:t>7.1 Cronograma de Ejecucion (18 meses)</w:t>
      </w:r>
    </w:p>
    <w:tbl>
      <w:tblPr>
        <w:tblW w:w="5000" w:type="pct"/>
        <w:tblBorders>
          <w:top w:val="single" w:color="1a365d" w:sz="12"/>
          <w:left w:val="nil"/>
          <w:bottom w:val="single" w:color="1a365d" w:sz="12"/>
          <w:right w:val="nil"/>
          <w:insideH w:val="nil"/>
          <w:insideV w:val="nil"/>
        </w:tblBorders>
        <w:tblCellMar>
          <w:top w:w="120" w:type="dxa"/>
          <w:left w:w="150" w:type="dxa"/>
          <w:bottom w:w="120" w:type="dxa"/>
          <w:right w:w="150" w:type="dxa"/>
        </w:tblCellMar>
      </w:tblPr>
      <w:tblGrid>
        <w:gridCol w:w="2250"/>
        <w:gridCol w:w="2250"/>
        <w:gridCol w:w="2250"/>
        <w:gridCol w:w="2250"/>
      </w:tblGrid>
      <w:tr>
        <w:trPr>
          <w:tblHeader/>
          <w:trHeight w:val="400" w:hRule="atLeast"/>
        </w:trPr>
        <w:tc>
          <w:tcPr>
            <w:tcW w:w="0" w:type="auto"/>
            <w:tcBorders>
              <w:bottom w:val="single" w:color="1a365d" w:sz="6"/>
            </w:tcBorders>
            <w:shd w:val="clear" w:fill="f1f5f9"/>
            <w:vAlign w:val="center"/>
          </w:tcPr>
          <w:p>
            <w:pPr>
              <w:spacing w:before="0" w:after="0"/>
              <w:jc w:val="center"/>
            </w:pPr>
            <w:r>
              <w:rPr>
                <w:b/>
                <w:color w:val="1e293b"/>
                <w:sz w:val="22"/>
              </w:rPr>
              <w:t>Fase</w:t>
            </w:r>
          </w:p>
        </w:tc>
        <w:tc>
          <w:tcPr>
            <w:tcW w:w="0" w:type="auto"/>
            <w:tcBorders>
              <w:bottom w:val="single" w:color="1a365d" w:sz="6"/>
            </w:tcBorders>
            <w:shd w:val="clear" w:fill="f1f5f9"/>
            <w:vAlign w:val="center"/>
          </w:tcPr>
          <w:p>
            <w:pPr>
              <w:spacing w:before="0" w:after="0"/>
              <w:jc w:val="center"/>
            </w:pPr>
            <w:r>
              <w:rPr>
                <w:b/>
                <w:color w:val="1e293b"/>
                <w:sz w:val="22"/>
              </w:rPr>
              <w:t>Periodo</w:t>
            </w:r>
          </w:p>
        </w:tc>
        <w:tc>
          <w:tcPr>
            <w:tcW w:w="0" w:type="auto"/>
            <w:tcBorders>
              <w:bottom w:val="single" w:color="1a365d" w:sz="6"/>
            </w:tcBorders>
            <w:shd w:val="clear" w:fill="f1f5f9"/>
            <w:vAlign w:val="center"/>
          </w:tcPr>
          <w:p>
            <w:pPr>
              <w:spacing w:before="0" w:after="0"/>
              <w:jc w:val="center"/>
            </w:pPr>
            <w:r>
              <w:rPr>
                <w:b/>
                <w:color w:val="1e293b"/>
                <w:sz w:val="22"/>
              </w:rPr>
              <w:t>Actividades Principales</w:t>
            </w:r>
          </w:p>
        </w:tc>
        <w:tc>
          <w:tcPr>
            <w:tcW w:w="0" w:type="auto"/>
            <w:tcBorders>
              <w:bottom w:val="single" w:color="1a365d" w:sz="6"/>
            </w:tcBorders>
            <w:shd w:val="clear" w:fill="f1f5f9"/>
            <w:vAlign w:val="center"/>
          </w:tcPr>
          <w:p>
            <w:pPr>
              <w:spacing w:before="0" w:after="0"/>
              <w:jc w:val="center"/>
            </w:pPr>
            <w:r>
              <w:rPr>
                <w:b/>
                <w:color w:val="1e293b"/>
                <w:sz w:val="22"/>
              </w:rPr>
              <w:t>Entregables</w:t>
            </w:r>
          </w:p>
        </w:tc>
      </w:tr>
      <w:tr>
        <w:trPr>
          <w:trHeight w:val="360" w:hRule="atLeast"/>
        </w:trPr>
        <w:tc>
          <w:tcPr>
            <w:tcW w:w="0" w:type="auto"/>
            <w:vAlign w:val="center"/>
          </w:tcPr>
          <w:p>
            <w:pPr>
              <w:spacing w:before="0" w:after="0"/>
              <w:jc w:val="left"/>
            </w:pPr>
            <w:r>
              <w:rPr>
                <w:color w:val="1e293b"/>
                <w:sz w:val="22"/>
              </w:rPr>
              <w:t>Fase 1: Infraestructura</w:t>
            </w:r>
          </w:p>
        </w:tc>
        <w:tc>
          <w:tcPr>
            <w:tcW w:w="0" w:type="auto"/>
            <w:vAlign w:val="center"/>
          </w:tcPr>
          <w:p>
            <w:pPr>
              <w:spacing w:before="0" w:after="0"/>
              <w:jc w:val="center"/>
            </w:pPr>
            <w:r>
              <w:rPr>
                <w:color w:val="1e293b"/>
                <w:sz w:val="22"/>
              </w:rPr>
              <w:t>Meses 1-4</w:t>
            </w:r>
          </w:p>
        </w:tc>
        <w:tc>
          <w:tcPr>
            <w:tcW w:w="0" w:type="auto"/>
            <w:vAlign w:val="center"/>
          </w:tcPr>
          <w:p>
            <w:pPr>
              <w:spacing w:before="0" w:after="0"/>
              <w:jc w:val="center"/>
            </w:pPr>
            <w:r>
              <w:rPr>
                <w:color w:val="1e293b"/>
                <w:sz w:val="22"/>
              </w:rPr>
              <w:t>ETL ERA5-ONI-XM, limpieza, validacion, construccion vector de estado 56D</w:t>
            </w:r>
          </w:p>
        </w:tc>
        <w:tc>
          <w:tcPr>
            <w:tcW w:w="0" w:type="auto"/>
            <w:vAlign w:val="center"/>
          </w:tcPr>
          <w:p>
            <w:pPr>
              <w:spacing w:before="0" w:after="0"/>
              <w:jc w:val="center"/>
            </w:pPr>
            <w:r>
              <w:rPr>
                <w:color w:val="1e293b"/>
                <w:sz w:val="22"/>
              </w:rPr>
              <w:t>Dataset funcional, pipeline automatizado, documentacion</w:t>
            </w:r>
          </w:p>
        </w:tc>
      </w:tr>
      <w:tr>
        <w:trPr>
          <w:trHeight w:val="360" w:hRule="atLeast"/>
        </w:trPr>
        <w:tc>
          <w:tcPr>
            <w:tcW w:w="0" w:type="auto"/>
            <w:vAlign w:val="center"/>
          </w:tcPr>
          <w:p>
            <w:pPr>
              <w:spacing w:before="0" w:after="0"/>
              <w:jc w:val="left"/>
            </w:pPr>
            <w:r>
              <w:rPr>
                <w:color w:val="1e293b"/>
                <w:sz w:val="22"/>
              </w:rPr>
              <w:t>Fase 2: Modelado</w:t>
            </w:r>
          </w:p>
        </w:tc>
        <w:tc>
          <w:tcPr>
            <w:tcW w:w="0" w:type="auto"/>
            <w:vAlign w:val="center"/>
          </w:tcPr>
          <w:p>
            <w:pPr>
              <w:spacing w:before="0" w:after="0"/>
              <w:jc w:val="center"/>
            </w:pPr>
            <w:r>
              <w:rPr>
                <w:color w:val="1e293b"/>
                <w:sz w:val="22"/>
              </w:rPr>
              <w:t>Meses 3-7</w:t>
            </w:r>
          </w:p>
        </w:tc>
        <w:tc>
          <w:tcPr>
            <w:tcW w:w="0" w:type="auto"/>
            <w:vAlign w:val="center"/>
          </w:tcPr>
          <w:p>
            <w:pPr>
              <w:spacing w:before="0" w:after="0"/>
              <w:jc w:val="center"/>
            </w:pPr>
            <w:r>
              <w:rPr>
                <w:color w:val="1e293b"/>
                <w:sz w:val="22"/>
              </w:rPr>
              <w:t>PyWake eolica offshore, PVLib solar bifacial, modelo Thevenin Na-ion, integracion VSM</w:t>
            </w:r>
          </w:p>
        </w:tc>
        <w:tc>
          <w:tcPr>
            <w:tcW w:w="0" w:type="auto"/>
            <w:vAlign w:val="center"/>
          </w:tcPr>
          <w:p>
            <w:pPr>
              <w:spacing w:before="0" w:after="0"/>
              <w:jc w:val="center"/>
            </w:pPr>
            <w:r>
              <w:rPr>
                <w:color w:val="1e293b"/>
                <w:sz w:val="22"/>
              </w:rPr>
              <w:t>Modelos validados con datasheets fabricantes</w:t>
            </w:r>
          </w:p>
        </w:tc>
      </w:tr>
      <w:tr>
        <w:trPr>
          <w:trHeight w:val="360" w:hRule="atLeast"/>
        </w:trPr>
        <w:tc>
          <w:tcPr>
            <w:tcW w:w="0" w:type="auto"/>
            <w:vAlign w:val="center"/>
          </w:tcPr>
          <w:p>
            <w:pPr>
              <w:spacing w:before="0" w:after="0"/>
              <w:jc w:val="left"/>
            </w:pPr>
            <w:r>
              <w:rPr>
                <w:color w:val="1e293b"/>
                <w:sz w:val="22"/>
              </w:rPr>
              <w:t>Fase 3: PI-DRL</w:t>
            </w:r>
          </w:p>
        </w:tc>
        <w:tc>
          <w:tcPr>
            <w:tcW w:w="0" w:type="auto"/>
            <w:vAlign w:val="center"/>
          </w:tcPr>
          <w:p>
            <w:pPr>
              <w:spacing w:before="0" w:after="0"/>
              <w:jc w:val="center"/>
            </w:pPr>
            <w:r>
              <w:rPr>
                <w:color w:val="1e293b"/>
                <w:sz w:val="22"/>
              </w:rPr>
              <w:t>Meses 6-12</w:t>
            </w:r>
          </w:p>
        </w:tc>
        <w:tc>
          <w:tcPr>
            <w:tcW w:w="0" w:type="auto"/>
            <w:vAlign w:val="center"/>
          </w:tcPr>
          <w:p>
            <w:pPr>
              <w:spacing w:before="0" w:after="0"/>
              <w:jc w:val="center"/>
            </w:pPr>
            <w:r>
              <w:rPr>
                <w:color w:val="1e293b"/>
                <w:sz w:val="22"/>
              </w:rPr>
              <w:t>Desarrollo agente PPO, entrenamiento curriculum learning ENSO, integracion PINN</w:t>
            </w:r>
          </w:p>
        </w:tc>
        <w:tc>
          <w:tcPr>
            <w:tcW w:w="0" w:type="auto"/>
            <w:vAlign w:val="center"/>
          </w:tcPr>
          <w:p>
            <w:pPr>
              <w:spacing w:before="0" w:after="0"/>
              <w:jc w:val="center"/>
            </w:pPr>
            <w:r>
              <w:rPr>
                <w:color w:val="1e293b"/>
                <w:sz w:val="22"/>
              </w:rPr>
              <w:t>Agente entrenado, convergencia establecida, comparativa SDDP</w:t>
            </w:r>
          </w:p>
        </w:tc>
      </w:tr>
      <w:tr>
        <w:trPr>
          <w:trHeight w:val="360" w:hRule="atLeast"/>
        </w:trPr>
        <w:tc>
          <w:tcPr>
            <w:tcW w:w="0" w:type="auto"/>
            <w:vAlign w:val="center"/>
          </w:tcPr>
          <w:p>
            <w:pPr>
              <w:spacing w:before="0" w:after="0"/>
              <w:jc w:val="left"/>
            </w:pPr>
            <w:r>
              <w:rPr>
                <w:color w:val="1e293b"/>
                <w:sz w:val="22"/>
              </w:rPr>
              <w:t>Fase 4: Validacion</w:t>
            </w:r>
          </w:p>
        </w:tc>
        <w:tc>
          <w:tcPr>
            <w:tcW w:w="0" w:type="auto"/>
            <w:vAlign w:val="center"/>
          </w:tcPr>
          <w:p>
            <w:pPr>
              <w:spacing w:before="0" w:after="0"/>
              <w:jc w:val="center"/>
            </w:pPr>
            <w:r>
              <w:rPr>
                <w:color w:val="1e293b"/>
                <w:sz w:val="22"/>
              </w:rPr>
              <w:t>Meses 10-14</w:t>
            </w:r>
          </w:p>
        </w:tc>
        <w:tc>
          <w:tcPr>
            <w:tcW w:w="0" w:type="auto"/>
            <w:vAlign w:val="center"/>
          </w:tcPr>
          <w:p>
            <w:pPr>
              <w:spacing w:before="0" w:after="0"/>
              <w:jc w:val="center"/>
            </w:pPr>
            <w:r>
              <w:rPr>
                <w:color w:val="1e293b"/>
                <w:sz w:val="22"/>
              </w:rPr>
              <w:t>Monte Carlo N&gt;=10,000 realizaciones, escenarios estres, analisis estadistico</w:t>
            </w:r>
          </w:p>
        </w:tc>
        <w:tc>
          <w:tcPr>
            <w:tcW w:w="0" w:type="auto"/>
            <w:vAlign w:val="center"/>
          </w:tcPr>
          <w:p>
            <w:pPr>
              <w:spacing w:before="0" w:after="0"/>
              <w:jc w:val="center"/>
            </w:pPr>
            <w:r>
              <w:rPr>
                <w:color w:val="1e293b"/>
                <w:sz w:val="22"/>
              </w:rPr>
              <w:t>Resultados con intervalos confianza 95%</w:t>
            </w:r>
          </w:p>
        </w:tc>
      </w:tr>
      <w:tr>
        <w:trPr>
          <w:trHeight w:val="360" w:hRule="atLeast"/>
        </w:trPr>
        <w:tc>
          <w:tcPr>
            <w:tcW w:w="0" w:type="auto"/>
            <w:vAlign w:val="center"/>
          </w:tcPr>
          <w:p>
            <w:pPr>
              <w:spacing w:before="0" w:after="0"/>
              <w:jc w:val="left"/>
            </w:pPr>
            <w:r>
              <w:rPr>
                <w:color w:val="1e293b"/>
                <w:sz w:val="22"/>
              </w:rPr>
              <w:t>Fase 5: Productos</w:t>
            </w:r>
          </w:p>
        </w:tc>
        <w:tc>
          <w:tcPr>
            <w:tcW w:w="0" w:type="auto"/>
            <w:vAlign w:val="center"/>
          </w:tcPr>
          <w:p>
            <w:pPr>
              <w:spacing w:before="0" w:after="0"/>
              <w:jc w:val="center"/>
            </w:pPr>
            <w:r>
              <w:rPr>
                <w:color w:val="1e293b"/>
                <w:sz w:val="22"/>
              </w:rPr>
              <w:t>Meses 12-16</w:t>
            </w:r>
          </w:p>
        </w:tc>
        <w:tc>
          <w:tcPr>
            <w:tcW w:w="0" w:type="auto"/>
            <w:vAlign w:val="center"/>
          </w:tcPr>
          <w:p>
            <w:pPr>
              <w:spacing w:before="0" w:after="0"/>
              <w:jc w:val="center"/>
            </w:pPr>
            <w:r>
              <w:rPr>
                <w:color w:val="1e293b"/>
                <w:sz w:val="22"/>
              </w:rPr>
              <w:t>Dashboard interactivo, informes tecnicos, recomendaciones regulatorias</w:t>
            </w:r>
          </w:p>
        </w:tc>
        <w:tc>
          <w:tcPr>
            <w:tcW w:w="0" w:type="auto"/>
            <w:vAlign w:val="center"/>
          </w:tcPr>
          <w:p>
            <w:pPr>
              <w:spacing w:before="0" w:after="0"/>
              <w:jc w:val="center"/>
            </w:pPr>
            <w:r>
              <w:rPr>
                <w:color w:val="1e293b"/>
                <w:sz w:val="22"/>
              </w:rPr>
              <w:t>P1-P4 entregados, dashboard operativo</w:t>
            </w:r>
          </w:p>
        </w:tc>
      </w:tr>
      <w:tr>
        <w:trPr>
          <w:trHeight w:val="360" w:hRule="atLeast"/>
        </w:trPr>
        <w:tc>
          <w:tcPr>
            <w:tcW w:w="0" w:type="auto"/>
            <w:vAlign w:val="center"/>
          </w:tcPr>
          <w:p>
            <w:pPr>
              <w:spacing w:before="0" w:after="0"/>
              <w:jc w:val="left"/>
            </w:pPr>
            <w:r>
              <w:rPr>
                <w:color w:val="1e293b"/>
                <w:sz w:val="22"/>
              </w:rPr>
              <w:t>Fase 6: Tesis</w:t>
            </w:r>
          </w:p>
        </w:tc>
        <w:tc>
          <w:tcPr>
            <w:tcW w:w="0" w:type="auto"/>
            <w:vAlign w:val="center"/>
          </w:tcPr>
          <w:p>
            <w:pPr>
              <w:spacing w:before="0" w:after="0"/>
              <w:jc w:val="center"/>
            </w:pPr>
            <w:r>
              <w:rPr>
                <w:color w:val="1e293b"/>
                <w:sz w:val="22"/>
              </w:rPr>
              <w:t>Meses 15-18</w:t>
            </w:r>
          </w:p>
        </w:tc>
        <w:tc>
          <w:tcPr>
            <w:tcW w:w="0" w:type="auto"/>
            <w:vAlign w:val="center"/>
          </w:tcPr>
          <w:p>
            <w:pPr>
              <w:spacing w:before="0" w:after="0"/>
              <w:jc w:val="center"/>
            </w:pPr>
            <w:r>
              <w:rPr>
                <w:color w:val="1e293b"/>
                <w:sz w:val="22"/>
              </w:rPr>
              <w:t>Redaccion tesis, articulos cientificos, presentaciones, defensa</w:t>
            </w:r>
          </w:p>
        </w:tc>
        <w:tc>
          <w:tcPr>
            <w:tcW w:w="0" w:type="auto"/>
            <w:vAlign w:val="center"/>
          </w:tcPr>
          <w:p>
            <w:pPr>
              <w:spacing w:before="0" w:after="0"/>
              <w:jc w:val="center"/>
            </w:pPr>
            <w:r>
              <w:rPr>
                <w:color w:val="1e293b"/>
                <w:sz w:val="22"/>
              </w:rPr>
              <w:t>Documento final, publicaciones Q1-Q2</w:t>
            </w:r>
          </w:p>
        </w:tc>
      </w:tr>
    </w:tbl>
    <w:p>
      <w:pPr>
        <w:pStyle w:val="Caption"/>
      </w:pPr>
      <w:r>
        <w:t>Tabla 4: Cronograma detallado de ejecucion</w:t>
      </w:r>
    </w:p>
    <w:p>
      <w:pPr>
        <w:pStyle w:val="Heading2"/>
      </w:pPr>
      <w:r>
        <w:t>7.2 Presupuesto Total</w:t>
      </w:r>
    </w:p>
    <w:tbl>
      <w:tblPr>
        <w:tblW w:w="5000" w:type="pct"/>
        <w:tblBorders>
          <w:top w:val="single" w:color="1a365d" w:sz="12"/>
          <w:left w:val="nil"/>
          <w:bottom w:val="single" w:color="1a365d" w:sz="12"/>
          <w:right w:val="nil"/>
          <w:insideH w:val="nil"/>
          <w:insideV w:val="nil"/>
        </w:tblBorders>
        <w:tblCellMar>
          <w:top w:w="120" w:type="dxa"/>
          <w:left w:w="150" w:type="dxa"/>
          <w:bottom w:w="120" w:type="dxa"/>
          <w:right w:w="150" w:type="dxa"/>
        </w:tblCellMar>
      </w:tblPr>
      <w:tblGrid>
        <w:gridCol w:w="2250"/>
        <w:gridCol w:w="2250"/>
        <w:gridCol w:w="2250"/>
        <w:gridCol w:w="2250"/>
      </w:tblGrid>
      <w:tr>
        <w:trPr>
          <w:tblHeader/>
          <w:trHeight w:val="400" w:hRule="atLeast"/>
        </w:trPr>
        <w:tc>
          <w:tcPr>
            <w:tcW w:w="0" w:type="auto"/>
            <w:tcBorders>
              <w:bottom w:val="single" w:color="1a365d" w:sz="6"/>
            </w:tcBorders>
            <w:shd w:val="clear" w:fill="f1f5f9"/>
            <w:vAlign w:val="center"/>
          </w:tcPr>
          <w:p>
            <w:pPr>
              <w:spacing w:before="0" w:after="0"/>
              <w:jc w:val="center"/>
            </w:pPr>
            <w:r>
              <w:rPr>
                <w:b/>
                <w:color w:val="1e293b"/>
                <w:sz w:val="22"/>
              </w:rPr>
              <w:t>Categoria</w:t>
            </w:r>
          </w:p>
        </w:tc>
        <w:tc>
          <w:tcPr>
            <w:tcW w:w="0" w:type="auto"/>
            <w:tcBorders>
              <w:bottom w:val="single" w:color="1a365d" w:sz="6"/>
            </w:tcBorders>
            <w:shd w:val="clear" w:fill="f1f5f9"/>
            <w:vAlign w:val="center"/>
          </w:tcPr>
          <w:p>
            <w:pPr>
              <w:spacing w:before="0" w:after="0"/>
              <w:jc w:val="center"/>
            </w:pPr>
            <w:r>
              <w:rPr>
                <w:b/>
                <w:color w:val="1e293b"/>
                <w:sz w:val="22"/>
              </w:rPr>
              <w:t>Item</w:t>
            </w:r>
          </w:p>
        </w:tc>
        <w:tc>
          <w:tcPr>
            <w:tcW w:w="0" w:type="auto"/>
            <w:tcBorders>
              <w:bottom w:val="single" w:color="1a365d" w:sz="6"/>
            </w:tcBorders>
            <w:shd w:val="clear" w:fill="f1f5f9"/>
            <w:vAlign w:val="center"/>
          </w:tcPr>
          <w:p>
            <w:pPr>
              <w:spacing w:before="0" w:after="0"/>
              <w:jc w:val="center"/>
            </w:pPr>
            <w:r>
              <w:rPr>
                <w:b/>
                <w:color w:val="1e293b"/>
                <w:sz w:val="22"/>
              </w:rPr>
              <w:t>Monto (COP)</w:t>
            </w:r>
          </w:p>
        </w:tc>
        <w:tc>
          <w:tcPr>
            <w:tcW w:w="0" w:type="auto"/>
            <w:tcBorders>
              <w:bottom w:val="single" w:color="1a365d" w:sz="6"/>
            </w:tcBorders>
            <w:shd w:val="clear" w:fill="f1f5f9"/>
            <w:vAlign w:val="center"/>
          </w:tcPr>
          <w:p>
            <w:pPr>
              <w:spacing w:before="0" w:after="0"/>
              <w:jc w:val="center"/>
            </w:pPr>
            <w:r>
              <w:rPr>
                <w:b/>
                <w:color w:val="1e293b"/>
                <w:sz w:val="22"/>
              </w:rPr>
              <w:t>%</w:t>
            </w:r>
          </w:p>
        </w:tc>
      </w:tr>
      <w:tr>
        <w:trPr>
          <w:trHeight w:val="360" w:hRule="atLeast"/>
        </w:trPr>
        <w:tc>
          <w:tcPr>
            <w:tcW w:w="0" w:type="auto"/>
            <w:vAlign w:val="center"/>
          </w:tcPr>
          <w:p>
            <w:pPr>
              <w:spacing w:before="0" w:after="0"/>
              <w:jc w:val="left"/>
            </w:pPr>
            <w:r>
              <w:rPr>
                <w:color w:val="1e293b"/>
                <w:sz w:val="22"/>
              </w:rPr>
              <w:t>Personal</w:t>
            </w:r>
          </w:p>
        </w:tc>
        <w:tc>
          <w:tcPr>
            <w:tcW w:w="0" w:type="auto"/>
            <w:vAlign w:val="center"/>
          </w:tcPr>
          <w:p>
            <w:pPr>
              <w:spacing w:before="0" w:after="0"/>
              <w:jc w:val="center"/>
            </w:pPr>
            <w:r>
              <w:rPr>
                <w:color w:val="1e293b"/>
                <w:sz w:val="22"/>
              </w:rPr>
              <w:t>Investigador principal (tesista)</w:t>
            </w:r>
          </w:p>
        </w:tc>
        <w:tc>
          <w:tcPr>
            <w:tcW w:w="0" w:type="auto"/>
            <w:vAlign w:val="center"/>
          </w:tcPr>
          <w:p>
            <w:pPr>
              <w:spacing w:before="0" w:after="0"/>
              <w:jc w:val="center"/>
            </w:pPr>
            <w:r>
              <w:rPr>
                <w:color w:val="1e293b"/>
                <w:sz w:val="22"/>
              </w:rPr>
              <w:t>$180,000,000</w:t>
            </w:r>
          </w:p>
        </w:tc>
        <w:tc>
          <w:tcPr>
            <w:tcW w:w="0" w:type="auto"/>
            <w:vAlign w:val="center"/>
          </w:tcPr>
          <w:p>
            <w:pPr>
              <w:spacing w:before="0" w:after="0"/>
              <w:jc w:val="center"/>
            </w:pPr>
            <w:r>
              <w:rPr>
                <w:color w:val="1e293b"/>
                <w:sz w:val="22"/>
              </w:rPr>
              <w:t>30%</w:t>
            </w:r>
          </w:p>
        </w:tc>
      </w:tr>
      <w:tr>
        <w:trPr>
          <w:trHeight w:val="360" w:hRule="atLeast"/>
        </w:trPr>
        <w:tc>
          <w:tcPr>
            <w:tcW w:w="0" w:type="auto"/>
            <w:vAlign w:val="center"/>
          </w:tcPr>
          <w:p>
            <w:pPr>
              <w:spacing w:before="0" w:after="0"/>
              <w:jc w:val="left"/>
            </w:pPr>
            <w:r>
              <w:rPr>
                <w:color w:val="1e293b"/>
                <w:sz w:val="22"/>
              </w:rPr>
              <w:t>Personal</w:t>
            </w:r>
          </w:p>
        </w:tc>
        <w:tc>
          <w:tcPr>
            <w:tcW w:w="0" w:type="auto"/>
            <w:vAlign w:val="center"/>
          </w:tcPr>
          <w:p>
            <w:pPr>
              <w:spacing w:before="0" w:after="0"/>
              <w:jc w:val="center"/>
            </w:pPr>
            <w:r>
              <w:rPr>
                <w:color w:val="1e293b"/>
                <w:sz w:val="22"/>
              </w:rPr>
              <w:t>Director de tesis (20% tiempo)</w:t>
            </w:r>
          </w:p>
        </w:tc>
        <w:tc>
          <w:tcPr>
            <w:tcW w:w="0" w:type="auto"/>
            <w:vAlign w:val="center"/>
          </w:tcPr>
          <w:p>
            <w:pPr>
              <w:spacing w:before="0" w:after="0"/>
              <w:jc w:val="center"/>
            </w:pPr>
            <w:r>
              <w:rPr>
                <w:color w:val="1e293b"/>
                <w:sz w:val="22"/>
              </w:rPr>
              <w:t>$72,000,000</w:t>
            </w:r>
          </w:p>
        </w:tc>
        <w:tc>
          <w:tcPr>
            <w:tcW w:w="0" w:type="auto"/>
            <w:vAlign w:val="center"/>
          </w:tcPr>
          <w:p>
            <w:pPr>
              <w:spacing w:before="0" w:after="0"/>
              <w:jc w:val="center"/>
            </w:pPr>
            <w:r>
              <w:rPr>
                <w:color w:val="1e293b"/>
                <w:sz w:val="22"/>
              </w:rPr>
              <w:t>12%</w:t>
            </w:r>
          </w:p>
        </w:tc>
      </w:tr>
      <w:tr>
        <w:trPr>
          <w:trHeight w:val="360" w:hRule="atLeast"/>
        </w:trPr>
        <w:tc>
          <w:tcPr>
            <w:tcW w:w="0" w:type="auto"/>
            <w:vAlign w:val="center"/>
          </w:tcPr>
          <w:p>
            <w:pPr>
              <w:spacing w:before="0" w:after="0"/>
              <w:jc w:val="left"/>
            </w:pPr>
            <w:r>
              <w:rPr>
                <w:color w:val="1e293b"/>
                <w:sz w:val="22"/>
              </w:rPr>
              <w:t>Personal</w:t>
            </w:r>
          </w:p>
        </w:tc>
        <w:tc>
          <w:tcPr>
            <w:tcW w:w="0" w:type="auto"/>
            <w:vAlign w:val="center"/>
          </w:tcPr>
          <w:p>
            <w:pPr>
              <w:spacing w:before="0" w:after="0"/>
              <w:jc w:val="center"/>
            </w:pPr>
            <w:r>
              <w:rPr>
                <w:color w:val="1e293b"/>
                <w:sz w:val="22"/>
              </w:rPr>
              <w:t>Ingeniero de datos (30% tiempo)</w:t>
            </w:r>
          </w:p>
        </w:tc>
        <w:tc>
          <w:tcPr>
            <w:tcW w:w="0" w:type="auto"/>
            <w:vAlign w:val="center"/>
          </w:tcPr>
          <w:p>
            <w:pPr>
              <w:spacing w:before="0" w:after="0"/>
              <w:jc w:val="center"/>
            </w:pPr>
            <w:r>
              <w:rPr>
                <w:color w:val="1e293b"/>
                <w:sz w:val="22"/>
              </w:rPr>
              <w:t>$48,000,000</w:t>
            </w:r>
          </w:p>
        </w:tc>
        <w:tc>
          <w:tcPr>
            <w:tcW w:w="0" w:type="auto"/>
            <w:vAlign w:val="center"/>
          </w:tcPr>
          <w:p>
            <w:pPr>
              <w:spacing w:before="0" w:after="0"/>
              <w:jc w:val="center"/>
            </w:pPr>
            <w:r>
              <w:rPr>
                <w:color w:val="1e293b"/>
                <w:sz w:val="22"/>
              </w:rPr>
              <w:t>8%</w:t>
            </w:r>
          </w:p>
        </w:tc>
      </w:tr>
      <w:tr>
        <w:trPr>
          <w:trHeight w:val="360" w:hRule="atLeast"/>
        </w:trPr>
        <w:tc>
          <w:tcPr>
            <w:tcW w:w="0" w:type="auto"/>
            <w:vAlign w:val="center"/>
          </w:tcPr>
          <w:p>
            <w:pPr>
              <w:spacing w:before="0" w:after="0"/>
              <w:jc w:val="left"/>
            </w:pPr>
            <w:r>
              <w:rPr>
                <w:color w:val="1e293b"/>
                <w:sz w:val="22"/>
              </w:rPr>
              <w:t>Personal</w:t>
            </w:r>
          </w:p>
        </w:tc>
        <w:tc>
          <w:tcPr>
            <w:tcW w:w="0" w:type="auto"/>
            <w:vAlign w:val="center"/>
          </w:tcPr>
          <w:p>
            <w:pPr>
              <w:spacing w:before="0" w:after="0"/>
              <w:jc w:val="center"/>
            </w:pPr>
            <w:r>
              <w:rPr>
                <w:color w:val="1e293b"/>
                <w:sz w:val="22"/>
              </w:rPr>
              <w:t>Revisor externo (consultoria)</w:t>
            </w:r>
          </w:p>
        </w:tc>
        <w:tc>
          <w:tcPr>
            <w:tcW w:w="0" w:type="auto"/>
            <w:vAlign w:val="center"/>
          </w:tcPr>
          <w:p>
            <w:pPr>
              <w:spacing w:before="0" w:after="0"/>
              <w:jc w:val="center"/>
            </w:pPr>
            <w:r>
              <w:rPr>
                <w:color w:val="1e293b"/>
                <w:sz w:val="22"/>
              </w:rPr>
              <w:t>$30,000,000</w:t>
            </w:r>
          </w:p>
        </w:tc>
        <w:tc>
          <w:tcPr>
            <w:tcW w:w="0" w:type="auto"/>
            <w:vAlign w:val="center"/>
          </w:tcPr>
          <w:p>
            <w:pPr>
              <w:spacing w:before="0" w:after="0"/>
              <w:jc w:val="center"/>
            </w:pPr>
            <w:r>
              <w:rPr>
                <w:color w:val="1e293b"/>
                <w:sz w:val="22"/>
              </w:rPr>
              <w:t>5%</w:t>
            </w:r>
          </w:p>
        </w:tc>
      </w:tr>
      <w:tr>
        <w:trPr>
          <w:trHeight w:val="360" w:hRule="atLeast"/>
        </w:trPr>
        <w:tc>
          <w:tcPr>
            <w:tcW w:w="0" w:type="auto"/>
            <w:vAlign w:val="center"/>
          </w:tcPr>
          <w:p>
            <w:pPr>
              <w:spacing w:before="0" w:after="0"/>
              <w:jc w:val="left"/>
            </w:pPr>
            <w:r>
              <w:rPr>
                <w:color w:val="1e293b"/>
                <w:sz w:val="22"/>
              </w:rPr>
              <w:t>Computacion</w:t>
            </w:r>
          </w:p>
        </w:tc>
        <w:tc>
          <w:tcPr>
            <w:tcW w:w="0" w:type="auto"/>
            <w:vAlign w:val="center"/>
          </w:tcPr>
          <w:p>
            <w:pPr>
              <w:spacing w:before="0" w:after="0"/>
              <w:jc w:val="center"/>
            </w:pPr>
            <w:r>
              <w:rPr>
                <w:color w:val="1e293b"/>
                <w:sz w:val="22"/>
              </w:rPr>
              <w:t>Servidor GPU cloud (4x A100, 18 meses)</w:t>
            </w:r>
          </w:p>
        </w:tc>
        <w:tc>
          <w:tcPr>
            <w:tcW w:w="0" w:type="auto"/>
            <w:vAlign w:val="center"/>
          </w:tcPr>
          <w:p>
            <w:pPr>
              <w:spacing w:before="0" w:after="0"/>
              <w:jc w:val="center"/>
            </w:pPr>
            <w:r>
              <w:rPr>
                <w:color w:val="1e293b"/>
                <w:sz w:val="22"/>
              </w:rPr>
              <w:t>$120,000,000</w:t>
            </w:r>
          </w:p>
        </w:tc>
        <w:tc>
          <w:tcPr>
            <w:tcW w:w="0" w:type="auto"/>
            <w:vAlign w:val="center"/>
          </w:tcPr>
          <w:p>
            <w:pPr>
              <w:spacing w:before="0" w:after="0"/>
              <w:jc w:val="center"/>
            </w:pPr>
            <w:r>
              <w:rPr>
                <w:color w:val="1e293b"/>
                <w:sz w:val="22"/>
              </w:rPr>
              <w:t>20%</w:t>
            </w:r>
          </w:p>
        </w:tc>
      </w:tr>
      <w:tr>
        <w:trPr>
          <w:trHeight w:val="360" w:hRule="atLeast"/>
        </w:trPr>
        <w:tc>
          <w:tcPr>
            <w:tcW w:w="0" w:type="auto"/>
            <w:vAlign w:val="center"/>
          </w:tcPr>
          <w:p>
            <w:pPr>
              <w:spacing w:before="0" w:after="0"/>
              <w:jc w:val="left"/>
            </w:pPr>
            <w:r>
              <w:rPr>
                <w:color w:val="1e293b"/>
                <w:sz w:val="22"/>
              </w:rPr>
              <w:t>Computacion</w:t>
            </w:r>
          </w:p>
        </w:tc>
        <w:tc>
          <w:tcPr>
            <w:tcW w:w="0" w:type="auto"/>
            <w:vAlign w:val="center"/>
          </w:tcPr>
          <w:p>
            <w:pPr>
              <w:spacing w:before="0" w:after="0"/>
              <w:jc w:val="center"/>
            </w:pPr>
            <w:r>
              <w:rPr>
                <w:color w:val="1e293b"/>
                <w:sz w:val="22"/>
              </w:rPr>
              <w:t>Almacenamiento datos (2TB, backups)</w:t>
            </w:r>
          </w:p>
        </w:tc>
        <w:tc>
          <w:tcPr>
            <w:tcW w:w="0" w:type="auto"/>
            <w:vAlign w:val="center"/>
          </w:tcPr>
          <w:p>
            <w:pPr>
              <w:spacing w:before="0" w:after="0"/>
              <w:jc w:val="center"/>
            </w:pPr>
            <w:r>
              <w:rPr>
                <w:color w:val="1e293b"/>
                <w:sz w:val="22"/>
              </w:rPr>
              <w:t>$24,000,000</w:t>
            </w:r>
          </w:p>
        </w:tc>
        <w:tc>
          <w:tcPr>
            <w:tcW w:w="0" w:type="auto"/>
            <w:vAlign w:val="center"/>
          </w:tcPr>
          <w:p>
            <w:pPr>
              <w:spacing w:before="0" w:after="0"/>
              <w:jc w:val="center"/>
            </w:pPr>
            <w:r>
              <w:rPr>
                <w:color w:val="1e293b"/>
                <w:sz w:val="22"/>
              </w:rPr>
              <w:t>4%</w:t>
            </w:r>
          </w:p>
        </w:tc>
      </w:tr>
      <w:tr>
        <w:trPr>
          <w:trHeight w:val="360" w:hRule="atLeast"/>
        </w:trPr>
        <w:tc>
          <w:tcPr>
            <w:tcW w:w="0" w:type="auto"/>
            <w:vAlign w:val="center"/>
          </w:tcPr>
          <w:p>
            <w:pPr>
              <w:spacing w:before="0" w:after="0"/>
              <w:jc w:val="left"/>
            </w:pPr>
            <w:r>
              <w:rPr>
                <w:color w:val="1e293b"/>
                <w:sz w:val="22"/>
              </w:rPr>
              <w:t>Difusion</w:t>
            </w:r>
          </w:p>
        </w:tc>
        <w:tc>
          <w:tcPr>
            <w:tcW w:w="0" w:type="auto"/>
            <w:vAlign w:val="center"/>
          </w:tcPr>
          <w:p>
            <w:pPr>
              <w:spacing w:before="0" w:after="0"/>
              <w:jc w:val="center"/>
            </w:pPr>
            <w:r>
              <w:rPr>
                <w:color w:val="1e293b"/>
                <w:sz w:val="22"/>
              </w:rPr>
              <w:t>Congreso internacional IEEE PES</w:t>
            </w:r>
          </w:p>
        </w:tc>
        <w:tc>
          <w:tcPr>
            <w:tcW w:w="0" w:type="auto"/>
            <w:vAlign w:val="center"/>
          </w:tcPr>
          <w:p>
            <w:pPr>
              <w:spacing w:before="0" w:after="0"/>
              <w:jc w:val="center"/>
            </w:pPr>
            <w:r>
              <w:rPr>
                <w:color w:val="1e293b"/>
                <w:sz w:val="22"/>
              </w:rPr>
              <w:t>$25,000,000</w:t>
            </w:r>
          </w:p>
        </w:tc>
        <w:tc>
          <w:tcPr>
            <w:tcW w:w="0" w:type="auto"/>
            <w:vAlign w:val="center"/>
          </w:tcPr>
          <w:p>
            <w:pPr>
              <w:spacing w:before="0" w:after="0"/>
              <w:jc w:val="center"/>
            </w:pPr>
            <w:r>
              <w:rPr>
                <w:color w:val="1e293b"/>
                <w:sz w:val="22"/>
              </w:rPr>
              <w:t>4%</w:t>
            </w:r>
          </w:p>
        </w:tc>
      </w:tr>
      <w:tr>
        <w:trPr>
          <w:trHeight w:val="360" w:hRule="atLeast"/>
        </w:trPr>
        <w:tc>
          <w:tcPr>
            <w:tcW w:w="0" w:type="auto"/>
            <w:vAlign w:val="center"/>
          </w:tcPr>
          <w:p>
            <w:pPr>
              <w:spacing w:before="0" w:after="0"/>
              <w:jc w:val="left"/>
            </w:pPr>
            <w:r>
              <w:rPr>
                <w:color w:val="1e293b"/>
                <w:sz w:val="22"/>
              </w:rPr>
              <w:t>Difusion</w:t>
            </w:r>
          </w:p>
        </w:tc>
        <w:tc>
          <w:tcPr>
            <w:tcW w:w="0" w:type="auto"/>
            <w:vAlign w:val="center"/>
          </w:tcPr>
          <w:p>
            <w:pPr>
              <w:spacing w:before="0" w:after="0"/>
              <w:jc w:val="center"/>
            </w:pPr>
            <w:r>
              <w:rPr>
                <w:color w:val="1e293b"/>
                <w:sz w:val="22"/>
              </w:rPr>
              <w:t>Publicacion open access (APC)</w:t>
            </w:r>
          </w:p>
        </w:tc>
        <w:tc>
          <w:tcPr>
            <w:tcW w:w="0" w:type="auto"/>
            <w:vAlign w:val="center"/>
          </w:tcPr>
          <w:p>
            <w:pPr>
              <w:spacing w:before="0" w:after="0"/>
              <w:jc w:val="center"/>
            </w:pPr>
            <w:r>
              <w:rPr>
                <w:color w:val="1e293b"/>
                <w:sz w:val="22"/>
              </w:rPr>
              <w:t>$35,000,000</w:t>
            </w:r>
          </w:p>
        </w:tc>
        <w:tc>
          <w:tcPr>
            <w:tcW w:w="0" w:type="auto"/>
            <w:vAlign w:val="center"/>
          </w:tcPr>
          <w:p>
            <w:pPr>
              <w:spacing w:before="0" w:after="0"/>
              <w:jc w:val="center"/>
            </w:pPr>
            <w:r>
              <w:rPr>
                <w:color w:val="1e293b"/>
                <w:sz w:val="22"/>
              </w:rPr>
              <w:t>6%</w:t>
            </w:r>
          </w:p>
        </w:tc>
      </w:tr>
      <w:tr>
        <w:trPr>
          <w:trHeight w:val="360" w:hRule="atLeast"/>
        </w:trPr>
        <w:tc>
          <w:tcPr>
            <w:tcW w:w="0" w:type="auto"/>
            <w:vAlign w:val="center"/>
          </w:tcPr>
          <w:p>
            <w:pPr>
              <w:spacing w:before="0" w:after="0"/>
              <w:jc w:val="left"/>
            </w:pPr>
            <w:r>
              <w:rPr>
                <w:color w:val="1e293b"/>
                <w:sz w:val="22"/>
              </w:rPr>
              <w:t>Difusion</w:t>
            </w:r>
          </w:p>
        </w:tc>
        <w:tc>
          <w:tcPr>
            <w:tcW w:w="0" w:type="auto"/>
            <w:vAlign w:val="center"/>
          </w:tcPr>
          <w:p>
            <w:pPr>
              <w:spacing w:before="0" w:after="0"/>
              <w:jc w:val="center"/>
            </w:pPr>
            <w:r>
              <w:rPr>
                <w:color w:val="1e293b"/>
                <w:sz w:val="22"/>
              </w:rPr>
              <w:t>Workshops presentacion resultados</w:t>
            </w:r>
          </w:p>
        </w:tc>
        <w:tc>
          <w:tcPr>
            <w:tcW w:w="0" w:type="auto"/>
            <w:vAlign w:val="center"/>
          </w:tcPr>
          <w:p>
            <w:pPr>
              <w:spacing w:before="0" w:after="0"/>
              <w:jc w:val="center"/>
            </w:pPr>
            <w:r>
              <w:rPr>
                <w:color w:val="1e293b"/>
                <w:sz w:val="22"/>
              </w:rPr>
              <w:t>$15,000,000</w:t>
            </w:r>
          </w:p>
        </w:tc>
        <w:tc>
          <w:tcPr>
            <w:tcW w:w="0" w:type="auto"/>
            <w:vAlign w:val="center"/>
          </w:tcPr>
          <w:p>
            <w:pPr>
              <w:spacing w:before="0" w:after="0"/>
              <w:jc w:val="center"/>
            </w:pPr>
            <w:r>
              <w:rPr>
                <w:color w:val="1e293b"/>
                <w:sz w:val="22"/>
              </w:rPr>
              <w:t>2%</w:t>
            </w:r>
          </w:p>
        </w:tc>
      </w:tr>
      <w:tr>
        <w:trPr>
          <w:trHeight w:val="360" w:hRule="atLeast"/>
        </w:trPr>
        <w:tc>
          <w:tcPr>
            <w:tcW w:w="0" w:type="auto"/>
            <w:vAlign w:val="center"/>
          </w:tcPr>
          <w:p>
            <w:pPr>
              <w:spacing w:before="0" w:after="0"/>
              <w:jc w:val="left"/>
            </w:pPr>
            <w:r>
              <w:rPr>
                <w:color w:val="1e293b"/>
                <w:sz w:val="22"/>
              </w:rPr>
              <w:t>Contingencia</w:t>
            </w:r>
          </w:p>
        </w:tc>
        <w:tc>
          <w:tcPr>
            <w:tcW w:w="0" w:type="auto"/>
            <w:vAlign w:val="center"/>
          </w:tcPr>
          <w:p>
            <w:pPr>
              <w:spacing w:before="0" w:after="0"/>
              <w:jc w:val="center"/>
            </w:pPr>
            <w:r>
              <w:rPr>
                <w:color w:val="1e293b"/>
                <w:sz w:val="22"/>
              </w:rPr>
              <w:t>Reserva imprevistos (10%)</w:t>
            </w:r>
          </w:p>
        </w:tc>
        <w:tc>
          <w:tcPr>
            <w:tcW w:w="0" w:type="auto"/>
            <w:vAlign w:val="center"/>
          </w:tcPr>
          <w:p>
            <w:pPr>
              <w:spacing w:before="0" w:after="0"/>
              <w:jc w:val="center"/>
            </w:pPr>
            <w:r>
              <w:rPr>
                <w:color w:val="1e293b"/>
                <w:sz w:val="22"/>
              </w:rPr>
              <w:t>$54,900,000</w:t>
            </w:r>
          </w:p>
        </w:tc>
        <w:tc>
          <w:tcPr>
            <w:tcW w:w="0" w:type="auto"/>
            <w:vAlign w:val="center"/>
          </w:tcPr>
          <w:p>
            <w:pPr>
              <w:spacing w:before="0" w:after="0"/>
              <w:jc w:val="center"/>
            </w:pPr>
            <w:r>
              <w:rPr>
                <w:color w:val="1e293b"/>
                <w:sz w:val="22"/>
              </w:rPr>
              <w:t>9%</w:t>
            </w:r>
          </w:p>
        </w:tc>
      </w:tr>
      <w:tr>
        <w:trPr>
          <w:trHeight w:val="360" w:hRule="atLeast"/>
        </w:trPr>
        <w:tc>
          <w:tcPr>
            <w:tcW w:w="0" w:type="auto"/>
            <w:vAlign w:val="center"/>
          </w:tcPr>
          <w:p>
            <w:pPr>
              <w:spacing w:before="0" w:after="0"/>
              <w:jc w:val="left"/>
            </w:pPr>
            <w:r>
              <w:rPr>
                <w:color w:val="1e293b"/>
                <w:sz w:val="22"/>
              </w:rPr>
              <w:t>TOTAL</w:t>
            </w:r>
          </w:p>
        </w:tc>
        <w:tc>
          <w:tcPr>
            <w:tcW w:w="0" w:type="auto"/>
            <w:vAlign w:val="center"/>
          </w:tcPr>
          <w:p>
            <w:pPr>
              <w:spacing w:before="0" w:after="0"/>
              <w:jc w:val="center"/>
            </w:pPr>
            <w:r>
              <w:rPr>
                <w:color w:val="1e293b"/>
                <w:sz w:val="22"/>
              </w:rPr>
              <w:t/>
            </w:r>
          </w:p>
        </w:tc>
        <w:tc>
          <w:tcPr>
            <w:tcW w:w="0" w:type="auto"/>
            <w:vAlign w:val="center"/>
          </w:tcPr>
          <w:p>
            <w:pPr>
              <w:spacing w:before="0" w:after="0"/>
              <w:jc w:val="center"/>
            </w:pPr>
            <w:r>
              <w:rPr>
                <w:color w:val="1e293b"/>
                <w:sz w:val="22"/>
              </w:rPr>
              <w:t>$603,900,000</w:t>
            </w:r>
          </w:p>
        </w:tc>
        <w:tc>
          <w:tcPr>
            <w:tcW w:w="0" w:type="auto"/>
            <w:vAlign w:val="center"/>
          </w:tcPr>
          <w:p>
            <w:pPr>
              <w:spacing w:before="0" w:after="0"/>
              <w:jc w:val="center"/>
            </w:pPr>
            <w:r>
              <w:rPr>
                <w:color w:val="1e293b"/>
                <w:sz w:val="22"/>
              </w:rPr>
              <w:t>100%</w:t>
            </w:r>
          </w:p>
        </w:tc>
      </w:tr>
    </w:tbl>
    <w:p>
      <w:pPr>
        <w:pStyle w:val="Caption"/>
      </w:pPr>
      <w:r>
        <w:t>Tabla 5: Desglose detallado del presupuesto</w:t>
      </w:r>
    </w:p>
    <w:p>
      <w:r>
        <w:br w:type="page"/>
      </w:r>
    </w:p>
    <w:p>
      <w:pPr>
        <w:pStyle w:val="Heading1"/>
      </w:pPr>
      <w:bookmarkStart w:name="_Toc008" w:id="008"/>
      <w:r>
        <w:t>8. Impacto y Relevancia para Colombia</w:t>
      </w:r>
      <w:bookmarkEnd w:id="008"/>
    </w:p>
    <w:p>
      <w:pPr>
        <w:pStyle w:val="Heading2"/>
      </w:pPr>
      <w:r>
        <w:t>8.1 Impacto Cientifico</w:t>
      </w:r>
    </w:p>
    <w:p>
      <w:pPr>
        <w:ind w:firstLine="720"/>
      </w:pPr>
      <w:r>
        <w:t>Primera implementacion mundial del Indice Oceanico del Nino como variable de estado explicita en un agente de Deep Reinforcement Learning para despacho energetico. Esta contribucion cierra una brecha metodologica identificada en la literatura cientifica internacional, donde el ONI ha sido utilizado unicamente como covariable estadistica externa, nunca como dimension del espacio de estados del agente de optimizacion.</w:t>
      </w:r>
    </w:p>
    <w:p>
      <w:pPr>
        <w:ind w:firstLine="720"/>
      </w:pPr>
      <w:r>
        <w:t>Primera validacion experimental del modelo de Kuramoto-Sakaguchi con inercia heterogenea aplicado a un sistema electrico real de escala nacional. Los resultados proporcionaran evidencia empirica de la existencia de transiciones de fase discontinuas con histeresis en sistemas de potencia reales, validando las predicciones teoricas de Park y Kahng (2024).</w:t>
      </w:r>
    </w:p>
    <w:p>
      <w:pPr>
        <w:ind w:firstLine="720"/>
      </w:pPr>
      <w:r>
        <w:t>Desarrollo de una metodologia reproducible para sistemas hidrodependientes en otros paises (Brasil, Noruega, Nueva Zelanda), contribuyendo al conocimiento internacional sobre resiliencia climatica de sistemas electricos.</w:t>
      </w:r>
    </w:p>
    <w:p>
      <w:pPr>
        <w:pStyle w:val="Heading2"/>
      </w:pPr>
      <w:r>
        <w:t>8.2 Impacto Tecnologico</w:t>
      </w:r>
    </w:p>
    <w:p>
      <w:pPr>
        <w:ind w:firstLine="720"/>
      </w:pPr>
      <w:r>
        <w:t>Herramienta de planificacion para la UPME en la actualizacion del Plan Energetico Nacional 2020-2050. El gemelo digital permitira evaluar cuantitativamente diferentes escenarios de expansion de generacion y almacenamiento, proporcionando bases tecnicas para la toma de decisiones de politica publica.</w:t>
      </w:r>
    </w:p>
    <w:p>
      <w:pPr>
        <w:ind w:firstLine="720"/>
      </w:pPr>
      <w:r>
        <w:t>Sistema de alerta temprana para el Centro Nacional de Despacho (CNO) ante condiciones ENSO severas. La integracion del ONI como variable predictiva permitira anticipar con 3-6 meses de ventaja las condiciones de estres hidrico, activando protocolos de conservacion de embalses antes de que la crisis se materialice.</w:t>
      </w:r>
    </w:p>
    <w:p>
      <w:pPr>
        <w:ind w:firstLine="720"/>
      </w:pPr>
      <w:r>
        <w:t>Base tecnica para el diseno de subastas de capacidad renovable con criterios de resiliencia climatica. Los resultados del modelo permitiran establecer requisitos tecnicos de almacenamiento asociado a proyectos renovables, garantizando que la expansion de generacion limia no comprometa la seguridad del suministro durante eventos ENSO.</w:t>
      </w:r>
    </w:p>
    <w:p>
      <w:pPr>
        <w:pStyle w:val="Heading2"/>
      </w:pPr>
      <w:r>
        <w:t>8.3 Impacto Economico-Social</w:t>
      </w:r>
    </w:p>
    <w:tbl>
      <w:tblPr>
        <w:tblW w:w="5000" w:type="pct"/>
        <w:tblBorders>
          <w:top w:val="single" w:color="1a365d" w:sz="12"/>
          <w:left w:val="nil"/>
          <w:bottom w:val="single" w:color="1a365d" w:sz="12"/>
          <w:right w:val="nil"/>
          <w:insideH w:val="nil"/>
          <w:insideV w:val="nil"/>
        </w:tblBorders>
        <w:tblCellMar>
          <w:top w:w="120" w:type="dxa"/>
          <w:left w:w="150" w:type="dxa"/>
          <w:bottom w:w="120" w:type="dxa"/>
          <w:right w:w="150" w:type="dxa"/>
        </w:tblCellMar>
      </w:tblPr>
      <w:tblGrid>
        <w:gridCol w:w="3000"/>
        <w:gridCol w:w="3000"/>
        <w:gridCol w:w="3000"/>
      </w:tblGrid>
      <w:tr>
        <w:trPr>
          <w:tblHeader/>
          <w:trHeight w:val="400" w:hRule="atLeast"/>
        </w:trPr>
        <w:tc>
          <w:tcPr>
            <w:tcW w:w="0" w:type="auto"/>
            <w:tcBorders>
              <w:bottom w:val="single" w:color="1a365d" w:sz="6"/>
            </w:tcBorders>
            <w:shd w:val="clear" w:fill="f1f5f9"/>
            <w:vAlign w:val="center"/>
          </w:tcPr>
          <w:p>
            <w:pPr>
              <w:spacing w:before="0" w:after="0"/>
              <w:jc w:val="center"/>
            </w:pPr>
            <w:r>
              <w:rPr>
                <w:b/>
                <w:color w:val="1e293b"/>
                <w:sz w:val="22"/>
              </w:rPr>
              <w:t>Indicador</w:t>
            </w:r>
          </w:p>
        </w:tc>
        <w:tc>
          <w:tcPr>
            <w:tcW w:w="0" w:type="auto"/>
            <w:tcBorders>
              <w:bottom w:val="single" w:color="1a365d" w:sz="6"/>
            </w:tcBorders>
            <w:shd w:val="clear" w:fill="f1f5f9"/>
            <w:vAlign w:val="center"/>
          </w:tcPr>
          <w:p>
            <w:pPr>
              <w:spacing w:before="0" w:after="0"/>
              <w:jc w:val="center"/>
            </w:pPr>
            <w:r>
              <w:rPr>
                <w:b/>
                <w:color w:val="1e293b"/>
                <w:sz w:val="22"/>
              </w:rPr>
              <w:t>Valor proyectado (2050)</w:t>
            </w:r>
          </w:p>
        </w:tc>
        <w:tc>
          <w:tcPr>
            <w:tcW w:w="0" w:type="auto"/>
            <w:tcBorders>
              <w:bottom w:val="single" w:color="1a365d" w:sz="6"/>
            </w:tcBorders>
            <w:shd w:val="clear" w:fill="f1f5f9"/>
            <w:vAlign w:val="center"/>
          </w:tcPr>
          <w:p>
            <w:pPr>
              <w:spacing w:before="0" w:after="0"/>
              <w:jc w:val="center"/>
            </w:pPr>
            <w:r>
              <w:rPr>
                <w:b/>
                <w:color w:val="1e293b"/>
                <w:sz w:val="22"/>
              </w:rPr>
              <w:t>Metodologia de calculo</w:t>
            </w:r>
          </w:p>
        </w:tc>
      </w:tr>
      <w:tr>
        <w:trPr>
          <w:trHeight w:val="360" w:hRule="atLeast"/>
        </w:trPr>
        <w:tc>
          <w:tcPr>
            <w:tcW w:w="0" w:type="auto"/>
            <w:vAlign w:val="center"/>
          </w:tcPr>
          <w:p>
            <w:pPr>
              <w:spacing w:before="0" w:after="0"/>
              <w:jc w:val="left"/>
            </w:pPr>
            <w:r>
              <w:rPr>
                <w:color w:val="1e293b"/>
                <w:sz w:val="22"/>
              </w:rPr>
              <w:t>Ahorro acumulado costos generacion (2025-2050)</w:t>
            </w:r>
          </w:p>
        </w:tc>
        <w:tc>
          <w:tcPr>
            <w:tcW w:w="0" w:type="auto"/>
            <w:vAlign w:val="center"/>
          </w:tcPr>
          <w:p>
            <w:pPr>
              <w:spacing w:before="0" w:after="0"/>
              <w:jc w:val="center"/>
            </w:pPr>
            <w:r>
              <w:rPr>
                <w:color w:val="1e293b"/>
                <w:sz w:val="22"/>
              </w:rPr>
              <w:t>$15-25 billones COP</w:t>
            </w:r>
          </w:p>
        </w:tc>
        <w:tc>
          <w:tcPr>
            <w:tcW w:w="0" w:type="auto"/>
            <w:vAlign w:val="center"/>
          </w:tcPr>
          <w:p>
            <w:pPr>
              <w:spacing w:before="0" w:after="0"/>
              <w:jc w:val="center"/>
            </w:pPr>
            <w:r>
              <w:rPr>
                <w:color w:val="1e293b"/>
                <w:sz w:val="22"/>
              </w:rPr>
              <w:t>Diferencia LCOE escenario ENERTRACE vs tendencial</w:t>
            </w:r>
          </w:p>
        </w:tc>
      </w:tr>
      <w:tr>
        <w:trPr>
          <w:trHeight w:val="360" w:hRule="atLeast"/>
        </w:trPr>
        <w:tc>
          <w:tcPr>
            <w:tcW w:w="0" w:type="auto"/>
            <w:vAlign w:val="center"/>
          </w:tcPr>
          <w:p>
            <w:pPr>
              <w:spacing w:before="0" w:after="0"/>
              <w:jc w:val="left"/>
            </w:pPr>
            <w:r>
              <w:rPr>
                <w:color w:val="1e293b"/>
                <w:sz w:val="22"/>
              </w:rPr>
              <w:t>Evitacion racionamiento</w:t>
            </w:r>
          </w:p>
        </w:tc>
        <w:tc>
          <w:tcPr>
            <w:tcW w:w="0" w:type="auto"/>
            <w:vAlign w:val="center"/>
          </w:tcPr>
          <w:p>
            <w:pPr>
              <w:spacing w:before="0" w:after="0"/>
              <w:jc w:val="center"/>
            </w:pPr>
            <w:r>
              <w:rPr>
                <w:color w:val="1e293b"/>
                <w:sz w:val="22"/>
              </w:rPr>
              <w:t>5,000-10,000 GWh no suministrados evitados</w:t>
            </w:r>
          </w:p>
        </w:tc>
        <w:tc>
          <w:tcPr>
            <w:tcW w:w="0" w:type="auto"/>
            <w:vAlign w:val="center"/>
          </w:tcPr>
          <w:p>
            <w:pPr>
              <w:spacing w:before="0" w:after="0"/>
              <w:jc w:val="center"/>
            </w:pPr>
            <w:r>
              <w:rPr>
                <w:color w:val="1e293b"/>
                <w:sz w:val="22"/>
              </w:rPr>
              <w:t>Simulacion Monte Carlo, valoracion costo ENS</w:t>
            </w:r>
          </w:p>
        </w:tc>
      </w:tr>
      <w:tr>
        <w:trPr>
          <w:trHeight w:val="360" w:hRule="atLeast"/>
        </w:trPr>
        <w:tc>
          <w:tcPr>
            <w:tcW w:w="0" w:type="auto"/>
            <w:vAlign w:val="center"/>
          </w:tcPr>
          <w:p>
            <w:pPr>
              <w:spacing w:before="0" w:after="0"/>
              <w:jc w:val="left"/>
            </w:pPr>
            <w:r>
              <w:rPr>
                <w:color w:val="1e293b"/>
                <w:sz w:val="22"/>
              </w:rPr>
              <w:t>Reduccion emisiones CO2 acumulada</w:t>
            </w:r>
          </w:p>
        </w:tc>
        <w:tc>
          <w:tcPr>
            <w:tcW w:w="0" w:type="auto"/>
            <w:vAlign w:val="center"/>
          </w:tcPr>
          <w:p>
            <w:pPr>
              <w:spacing w:before="0" w:after="0"/>
              <w:jc w:val="center"/>
            </w:pPr>
            <w:r>
              <w:rPr>
                <w:color w:val="1e293b"/>
                <w:sz w:val="22"/>
              </w:rPr>
              <w:t>50-80 MtCO2</w:t>
            </w:r>
          </w:p>
        </w:tc>
        <w:tc>
          <w:tcPr>
            <w:tcW w:w="0" w:type="auto"/>
            <w:vAlign w:val="center"/>
          </w:tcPr>
          <w:p>
            <w:pPr>
              <w:spacing w:before="0" w:after="0"/>
              <w:jc w:val="center"/>
            </w:pPr>
            <w:r>
              <w:rPr>
                <w:color w:val="1e293b"/>
                <w:sz w:val="22"/>
              </w:rPr>
              <w:t>Factor emisiones x generacion renovable adicional</w:t>
            </w:r>
          </w:p>
        </w:tc>
      </w:tr>
      <w:tr>
        <w:trPr>
          <w:trHeight w:val="360" w:hRule="atLeast"/>
        </w:trPr>
        <w:tc>
          <w:tcPr>
            <w:tcW w:w="0" w:type="auto"/>
            <w:vAlign w:val="center"/>
          </w:tcPr>
          <w:p>
            <w:pPr>
              <w:spacing w:before="0" w:after="0"/>
              <w:jc w:val="left"/>
            </w:pPr>
            <w:r>
              <w:rPr>
                <w:color w:val="1e293b"/>
                <w:sz w:val="22"/>
              </w:rPr>
              <w:t>Creacion empleos directos en renovables</w:t>
            </w:r>
          </w:p>
        </w:tc>
        <w:tc>
          <w:tcPr>
            <w:tcW w:w="0" w:type="auto"/>
            <w:vAlign w:val="center"/>
          </w:tcPr>
          <w:p>
            <w:pPr>
              <w:spacing w:before="0" w:after="0"/>
              <w:jc w:val="center"/>
            </w:pPr>
            <w:r>
              <w:rPr>
                <w:color w:val="1e293b"/>
                <w:sz w:val="22"/>
              </w:rPr>
              <w:t>50,000-80,000</w:t>
            </w:r>
          </w:p>
        </w:tc>
        <w:tc>
          <w:tcPr>
            <w:tcW w:w="0" w:type="auto"/>
            <w:vAlign w:val="center"/>
          </w:tcPr>
          <w:p>
            <w:pPr>
              <w:spacing w:before="0" w:after="0"/>
              <w:jc w:val="center"/>
            </w:pPr>
            <w:r>
              <w:rPr>
                <w:color w:val="1e293b"/>
                <w:sz w:val="22"/>
              </w:rPr>
              <w:t>Multiplicadores estandar IRENA/UPME</w:t>
            </w:r>
          </w:p>
        </w:tc>
      </w:tr>
      <w:tr>
        <w:trPr>
          <w:trHeight w:val="360" w:hRule="atLeast"/>
        </w:trPr>
        <w:tc>
          <w:tcPr>
            <w:tcW w:w="0" w:type="auto"/>
            <w:vAlign w:val="center"/>
          </w:tcPr>
          <w:p>
            <w:pPr>
              <w:spacing w:before="0" w:after="0"/>
              <w:jc w:val="left"/>
            </w:pPr>
            <w:r>
              <w:rPr>
                <w:color w:val="1e293b"/>
                <w:sz w:val="22"/>
              </w:rPr>
              <w:t>Reduccion dependencia GNL importado</w:t>
            </w:r>
          </w:p>
        </w:tc>
        <w:tc>
          <w:tcPr>
            <w:tcW w:w="0" w:type="auto"/>
            <w:vAlign w:val="center"/>
          </w:tcPr>
          <w:p>
            <w:pPr>
              <w:spacing w:before="0" w:after="0"/>
              <w:jc w:val="center"/>
            </w:pPr>
            <w:r>
              <w:rPr>
                <w:color w:val="1e293b"/>
                <w:sz w:val="22"/>
              </w:rPr>
              <w:t>40-60%</w:t>
            </w:r>
          </w:p>
        </w:tc>
        <w:tc>
          <w:tcPr>
            <w:tcW w:w="0" w:type="auto"/>
            <w:vAlign w:val="center"/>
          </w:tcPr>
          <w:p>
            <w:pPr>
              <w:spacing w:before="0" w:after="0"/>
              <w:jc w:val="center"/>
            </w:pPr>
            <w:r>
              <w:rPr>
                <w:color w:val="1e293b"/>
                <w:sz w:val="22"/>
              </w:rPr>
              <w:t>Reemplazo por generacion renovable + almacenamiento</w:t>
            </w:r>
          </w:p>
        </w:tc>
      </w:tr>
    </w:tbl>
    <w:p>
      <w:pPr>
        <w:pStyle w:val="Caption"/>
      </w:pPr>
      <w:r>
        <w:t>Tabla 6: Proyeccion de impacto economico-social al 2050</w:t>
      </w:r>
    </w:p>
    <w:p>
      <w:pPr>
        <w:pStyle w:val="Heading2"/>
      </w:pPr>
      <w:r>
        <w:t>8.4 Sostenibilidad Institucional</w:t>
      </w:r>
    </w:p>
    <w:p>
      <w:pPr>
        <w:ind w:firstLine="720"/>
      </w:pPr>
      <w:r>
        <w:t>Transferencia a XM S.A.: El modulo de prediccion climatica y el agente de despacho podran integrarse en la plataforma operativa Sinergox de XM, proporcionando valor agregado a la operacion del sistema electrico nacional.</w:t>
      </w:r>
    </w:p>
    <w:p>
      <w:pPr>
        <w:ind w:firstLine="720"/>
      </w:pPr>
      <w:r>
        <w:t>Capacitacion del CNO: Los resultados de esta investigacion serviran como base para programas de formacion en el uso de herramientas de inteligencia artificial para operacion de sistemas electricos en tiempo real.</w:t>
      </w:r>
    </w:p>
    <w:p>
      <w:pPr>
        <w:ind w:firstLine="720"/>
      </w:pPr>
      <w:r>
        <w:t>Actualizacion continua: El pipeline de datos esta disenado para actualizacion automatica con nuevos datos de XM, ERA5 y NOAA. El agente PI-DRL puede reentrenarse periodicamente con datos actualizados, manteniendo su relevancia a medida que el sistema electrico evoluciona.</w:t>
      </w:r>
    </w:p>
    <w:p>
      <w:pPr>
        <w:sectPr>
          <w:headerReference w:type="default" r:id="Rb22f98d8c4954c36"/>
          <w:footerReference w:type="default" r:id="R5f1d3bf4726a4dca"/>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728a0da8cb164dcb"/>
                    <a:stretch>
                      <a:fillRect/>
                    </a:stretch>
                  </pic:blipFill>
                  <pic:spPr>
                    <a:xfrm>
                      <a:off x="0" y="0"/>
                      <a:ext cx="7560000" cy="10692000"/>
                    </a:xfrm>
                    <a:prstGeom prst="rect"/>
                  </pic:spPr>
                </pic:pic>
              </a:graphicData>
            </a:graphic>
          </wp:anchor>
        </w:drawing>
      </w:r>
    </w:p>
    <w:p>
      <w:pPr>
        <w:spacing w:before="8000"/>
      </w:pPr>
      <w:r/>
    </w:p>
    <w:p>
      <w:pPr>
        <w:spacing w:after="200"/>
        <w:jc w:val="center"/>
      </w:pPr>
      <w:r>
        <w:rPr>
          <w:b/>
          <w:color w:val="1a365d"/>
          <w:sz w:val="32"/>
        </w:rPr>
        <w:t>ENERTRACE-SIN</w:t>
      </w:r>
    </w:p>
    <w:p>
      <w:pPr>
        <w:spacing w:after="400"/>
        <w:jc w:val="center"/>
      </w:pPr>
      <w:r>
        <w:rPr>
          <w:i/>
          <w:color w:val="475569"/>
          <w:sz w:val="22"/>
        </w:rPr>
        <w:t>Gemelo Digital del Sistema Electrico Colombiano</w:t>
      </w:r>
    </w:p>
    <w:p>
      <w:pPr>
        <w:spacing w:after="200"/>
        <w:jc w:val="center"/>
      </w:pPr>
      <w:r>
        <w:rPr>
          <w:color w:val="94a3b8"/>
          <w:sz w:val="18"/>
        </w:rPr>
        <w:t>Trabajo de Grado - Programa de Fisica</w:t>
      </w:r>
    </w:p>
    <w:p>
      <w:pPr>
        <w:jc w:val="center"/>
      </w:pPr>
      <w:r>
        <w:rPr>
          <w:color w:val="94a3b8"/>
          <w:sz w:val="16"/>
        </w:rPr>
        <w:t>© 2026 - Todos los derechos reservados</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r>
    <w:r>
      <w:instrText> PAGE </w:instrText>
    </w:r>
    <w:r>
      <w:fldChar w:fldCharType="separate"/>
    </w:r>
    <w:r>
      <w:t>1</w:t>
    </w:r>
    <w:r>
      <w:fldChar w:fldCharType="end"/>
    </w:r>
    <w:r>
      <w:t xml:space="preserve"> / </w:t>
    </w:r>
    <w:r>
      <w:fldChar w:fldCharType="begin"/>
    </w:r>
    <w:r>
      <w:instrText> NUMPAGES </w:instrText>
    </w:r>
    <w:r>
      <w:fldChar w:fldCharType="separate"/>
    </w:r>
    <w:r>
      <w:t>1</w:t>
    </w:r>
    <w: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b41e2989bec44c0f"/>
                  <a:stretch>
                    <a:fillRect/>
                  </a:stretch>
                </pic:blipFill>
                <pic:spPr>
                  <a:xfrm>
                    <a:off x="0" y="0"/>
                    <a:ext cx="7560000" cy="10692000"/>
                  </a:xfrm>
                  <a:prstGeom prst="rect"/>
                </pic:spPr>
              </pic:pic>
            </a:graphicData>
          </a:graphic>
        </wp:anchor>
      </w:drawing>
    </w:r>
  </w:p>
  <w:p>
    <w:pPr>
      <w:spacing w:before="0" w:after="0"/>
      <w:jc w:val="right"/>
    </w:pPr>
    <w:r>
      <w:rPr>
        <w:color w:val="94a3b8"/>
        <w:sz w:val="18"/>
      </w:rPr>
      <w:t>ENERTRACE-SIN</w:t>
    </w:r>
    <w:r>
      <w:rPr>
        <w:color w:val="c9a227"/>
        <w:sz w:val="18"/>
      </w:rPr>
      <w:t xml:space="preserve">  |  </w:t>
    </w:r>
    <w:r>
      <w:rPr>
        <w:color w:val="94a3b8"/>
        <w:sz w:val="18"/>
      </w:rPr>
      <w:t>Trabajo de Grado - Fisica</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60" w:lineRule="auto"/>
      <w:jc w:val="both"/>
    </w:pPr>
    <w:rPr>
      <w:rFonts w:ascii="Calibri" w:hAnsi="Calibri" w:eastAsia="Microsoft YaHei"/>
      <w:color w:val="1e293b"/>
      <w:sz w:val="24"/>
    </w:rPr>
  </w:style>
  <w:style w:type="paragraph" w:styleId="Heading1">
    <w:name w:val="heading 1"/>
    <w:basedOn w:val="Normal"/>
    <w:pPr>
      <w:keepNext/>
      <w:keepLines/>
      <w:spacing w:before="480" w:after="280" w:line="240" w:lineRule="auto"/>
      <w:outlineLvl w:val="0"/>
    </w:pPr>
    <w:rPr>
      <w:b/>
      <w:color w:val="1a365d"/>
      <w:sz w:val="36"/>
    </w:rPr>
  </w:style>
  <w:style w:type="paragraph" w:styleId="Heading2">
    <w:name w:val="heading 2"/>
    <w:basedOn w:val="Normal"/>
    <w:pPr>
      <w:keepNext/>
      <w:keepLines/>
      <w:spacing w:before="400" w:after="200"/>
      <w:outlineLvl w:val="1"/>
    </w:pPr>
    <w:rPr>
      <w:b/>
      <w:color w:val="1e293b"/>
      <w:sz w:val="28"/>
    </w:rPr>
  </w:style>
  <w:style w:type="paragraph" w:styleId="Heading3">
    <w:name w:val="heading 3"/>
    <w:basedOn w:val="Normal"/>
    <w:pPr>
      <w:keepNext/>
      <w:keepLines/>
      <w:spacing w:before="320" w:after="160"/>
      <w:outlineLvl w:val="2"/>
    </w:pPr>
    <w:rPr>
      <w:b/>
      <w:color w:val="475569"/>
      <w:sz w:val="26"/>
    </w:rPr>
  </w:style>
  <w:style w:type="paragraph" w:styleId="Caption">
    <w:name w:val="Caption"/>
    <w:basedOn w:val="Normal"/>
    <w:pPr>
      <w:keepLines/>
      <w:spacing w:before="80" w:after="400"/>
      <w:jc w:val="center"/>
    </w:pPr>
    <w:rPr>
      <w:i/>
      <w:color w:val="475569"/>
      <w:sz w:val="22"/>
    </w:rPr>
  </w:style>
  <w:style w:type="paragraph" w:styleId="TOC1">
    <w:name w:val="toc 1"/>
    <w:basedOn w:val="Normal"/>
    <w:pPr>
      <w:tabs>
        <w:tab w:val="right" w:leader="dot" w:pos="9350"/>
      </w:tabs>
      <w:spacing w:before="200" w:after="60"/>
    </w:pPr>
    <w:rPr>
      <w:b/>
      <w:color w:val="1e293b"/>
    </w:rPr>
  </w:style>
  <w:style w:type="paragraph" w:styleId="TOC2">
    <w:name w:val="toc 2"/>
    <w:basedOn w:val="Normal"/>
    <w:pPr>
      <w:tabs>
        <w:tab w:val="right" w:leader="dot" w:pos="9350"/>
      </w:tabs>
      <w:spacing w:before="60" w:after="60"/>
      <w:ind w:left="360"/>
    </w:pPr>
    <w:rPr>
      <w:color w:val="475569"/>
    </w:rPr>
  </w:style>
</w:styles>
</file>

<file path=word/_rels/document.xml.rels>&#65279;<?xml version="1.0" encoding="utf-8"?><Relationships xmlns="http://schemas.openxmlformats.org/package/2006/relationships"><Relationship Type="http://schemas.openxmlformats.org/officeDocument/2006/relationships/styles" Target="/word/styles.xml" Id="R8af7b4ca017b4617" /><Relationship Type="http://schemas.openxmlformats.org/officeDocument/2006/relationships/numbering" Target="/word/numbering.xml" Id="R2f461d75ac3240b4" /><Relationship Type="http://schemas.openxmlformats.org/officeDocument/2006/relationships/image" Target="/media/image.png" Id="Ra8b232a9f6c84983" /><Relationship Type="http://schemas.openxmlformats.org/officeDocument/2006/relationships/image" Target="/media/image2.png" Id="R3683ead59e3f4b62" /><Relationship Type="http://schemas.openxmlformats.org/officeDocument/2006/relationships/image" Target="/media/image3.png" Id="R728a0da8cb164dcb" /><Relationship Type="http://schemas.openxmlformats.org/officeDocument/2006/relationships/header" Target="/word/header1.xml" Id="Rb22f98d8c4954c36" /><Relationship Type="http://schemas.openxmlformats.org/officeDocument/2006/relationships/footer" Target="/word/footer1.xml" Id="R5f1d3bf4726a4dca" /><Relationship Type="http://schemas.openxmlformats.org/officeDocument/2006/relationships/settings" Target="/word/settings.xml" Id="R6d7d899ad6684ca3" /></Relationships>
</file>

<file path=word/_rels/header1.xml.rels>&#65279;<?xml version="1.0" encoding="utf-8"?><Relationships xmlns="http://schemas.openxmlformats.org/package/2006/relationships"><Relationship Type="http://schemas.openxmlformats.org/officeDocument/2006/relationships/image" Target="/media/image4.png" Id="Rb41e2989bec44c0f" /></Relationships>
</file>