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BB665">
      <w:pPr>
        <w:keepNext w:val="0"/>
        <w:keepLines w:val="0"/>
        <w:pageBreakBefore w:val="0"/>
        <w:widowControl w:val="0"/>
        <w:kinsoku/>
        <w:wordWrap/>
        <w:overflowPunct/>
        <w:topLinePunct w:val="0"/>
        <w:autoSpaceDE/>
        <w:autoSpaceDN/>
        <w:bidi w:val="0"/>
        <w:adjustRightInd/>
        <w:snapToGrid/>
        <w:spacing w:after="240" w:line="288" w:lineRule="auto"/>
        <w:ind w:left="0"/>
        <w:jc w:val="center"/>
        <w:textAlignment w:val="auto"/>
        <w:rPr>
          <w:rFonts w:hint="eastAsia" w:ascii="黑体" w:hAnsi="黑体" w:eastAsia="黑体" w:cs="黑体"/>
        </w:rPr>
      </w:pPr>
      <w:r>
        <w:rPr>
          <w:rFonts w:hint="eastAsia" w:ascii="黑体" w:hAnsi="黑体" w:eastAsia="黑体" w:cs="黑体"/>
          <w:b/>
          <w:sz w:val="52"/>
        </w:rPr>
        <w:t>软件工程专业见习周志</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288"/>
        <w:gridCol w:w="1082"/>
        <w:gridCol w:w="1938"/>
        <w:gridCol w:w="1000"/>
        <w:gridCol w:w="2708"/>
      </w:tblGrid>
      <w:tr w14:paraId="0C09F3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78" w:hRule="atLeast"/>
        </w:trPr>
        <w:tc>
          <w:tcPr>
            <w:tcW w:w="1185"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1358DBCF">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b/>
                <w:sz w:val="21"/>
                <w:szCs w:val="24"/>
              </w:rPr>
              <w:t>专</w:t>
            </w:r>
            <w:r>
              <w:rPr>
                <w:rFonts w:hint="eastAsia" w:ascii="宋体" w:hAnsi="宋体" w:eastAsia="宋体" w:cs="宋体"/>
                <w:b/>
                <w:sz w:val="21"/>
                <w:szCs w:val="24"/>
                <w:lang w:val="en-US" w:eastAsia="zh-CN"/>
              </w:rPr>
              <w:t xml:space="preserve"> </w:t>
            </w:r>
            <w:r>
              <w:rPr>
                <w:rFonts w:hint="eastAsia" w:ascii="宋体" w:hAnsi="宋体" w:eastAsia="宋体" w:cs="宋体"/>
                <w:b/>
                <w:sz w:val="21"/>
                <w:szCs w:val="24"/>
              </w:rPr>
              <w:t>业</w:t>
            </w:r>
          </w:p>
        </w:tc>
        <w:tc>
          <w:tcPr>
            <w:tcW w:w="2370" w:type="dxa"/>
            <w:gridSpan w:val="2"/>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453BDA74">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1"/>
                <w:szCs w:val="24"/>
                <w:u w:val="none"/>
              </w:rPr>
              <w:t>软件工程</w:t>
            </w:r>
          </w:p>
        </w:tc>
        <w:tc>
          <w:tcPr>
            <w:tcW w:w="1938"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0777AA5C">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b/>
                <w:sz w:val="21"/>
                <w:szCs w:val="24"/>
              </w:rPr>
              <w:t>年</w:t>
            </w:r>
            <w:r>
              <w:rPr>
                <w:rFonts w:hint="eastAsia" w:ascii="宋体" w:hAnsi="宋体" w:eastAsia="宋体" w:cs="宋体"/>
                <w:b/>
                <w:sz w:val="21"/>
                <w:szCs w:val="24"/>
                <w:lang w:val="en-US" w:eastAsia="zh-CN"/>
              </w:rPr>
              <w:t xml:space="preserve"> </w:t>
            </w:r>
            <w:r>
              <w:rPr>
                <w:rFonts w:hint="eastAsia" w:ascii="宋体" w:hAnsi="宋体" w:eastAsia="宋体" w:cs="宋体"/>
                <w:b/>
                <w:sz w:val="21"/>
                <w:szCs w:val="24"/>
              </w:rPr>
              <w:t>级</w:t>
            </w:r>
          </w:p>
        </w:tc>
        <w:tc>
          <w:tcPr>
            <w:tcW w:w="3708" w:type="dxa"/>
            <w:gridSpan w:val="2"/>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5D2534DE">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sz w:val="21"/>
                <w:szCs w:val="24"/>
                <w:u w:val="none"/>
              </w:rPr>
              <w:t>2024级</w:t>
            </w:r>
          </w:p>
        </w:tc>
      </w:tr>
      <w:tr w14:paraId="47DA47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98" w:hRule="atLeast"/>
        </w:trPr>
        <w:tc>
          <w:tcPr>
            <w:tcW w:w="1185"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764EA61F">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b/>
                <w:sz w:val="21"/>
                <w:szCs w:val="24"/>
                <w:lang w:val="en-US" w:eastAsia="zh-CN"/>
              </w:rPr>
              <w:t>周 次</w:t>
            </w:r>
          </w:p>
        </w:tc>
        <w:tc>
          <w:tcPr>
            <w:tcW w:w="1288"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0D319490">
            <w:r>
              <w:rPr>
                <w:rFonts w:ascii="宋体" w:hAnsi="宋体"/>
                <w:sz w:val="21"/>
              </w:rPr>
              <w:t>第1周</w:t>
            </w:r>
          </w:p>
        </w:tc>
        <w:tc>
          <w:tcPr>
            <w:tcW w:w="1082"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30436614">
            <w:pPr>
              <w:spacing w:before="120" w:after="120" w:line="288" w:lineRule="auto"/>
              <w:ind w:left="0"/>
              <w:jc w:val="center"/>
              <w:rPr>
                <w:rFonts w:hint="eastAsia" w:ascii="宋体" w:hAnsi="宋体" w:eastAsia="宋体" w:cs="宋体"/>
                <w:sz w:val="24"/>
                <w:szCs w:val="24"/>
                <w:lang w:val="en-US" w:eastAsia="zh-CN"/>
              </w:rPr>
            </w:pPr>
            <w:r>
              <w:rPr>
                <w:rFonts w:hint="eastAsia" w:ascii="宋体" w:hAnsi="宋体" w:eastAsia="宋体" w:cs="宋体"/>
                <w:b/>
                <w:sz w:val="21"/>
                <w:szCs w:val="24"/>
                <w:lang w:val="en-US" w:eastAsia="zh-CN"/>
              </w:rPr>
              <w:t>时 间</w:t>
            </w:r>
          </w:p>
        </w:tc>
        <w:tc>
          <w:tcPr>
            <w:tcW w:w="5646" w:type="dxa"/>
            <w:gridSpan w:val="3"/>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4574C33E">
            <w:r>
              <w:rPr>
                <w:rFonts w:ascii="宋体" w:hAnsi="宋体"/>
                <w:sz w:val="21"/>
              </w:rPr>
              <w:t>2026年9月7日--2026年9月11日</w:t>
            </w:r>
          </w:p>
        </w:tc>
      </w:tr>
      <w:tr w14:paraId="037258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7712CDA0">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b/>
                <w:sz w:val="21"/>
                <w:szCs w:val="24"/>
              </w:rPr>
              <w:t>姓</w:t>
            </w:r>
            <w:r>
              <w:rPr>
                <w:rFonts w:hint="eastAsia" w:ascii="宋体" w:hAnsi="宋体" w:eastAsia="宋体" w:cs="宋体"/>
                <w:b/>
                <w:sz w:val="21"/>
                <w:szCs w:val="24"/>
                <w:lang w:val="en-US" w:eastAsia="zh-CN"/>
              </w:rPr>
              <w:t xml:space="preserve"> </w:t>
            </w:r>
            <w:r>
              <w:rPr>
                <w:rFonts w:hint="eastAsia" w:ascii="宋体" w:hAnsi="宋体" w:eastAsia="宋体" w:cs="宋体"/>
                <w:b/>
                <w:sz w:val="21"/>
                <w:szCs w:val="24"/>
              </w:rPr>
              <w:t>名</w:t>
            </w:r>
          </w:p>
        </w:tc>
        <w:tc>
          <w:tcPr>
            <w:tcW w:w="1288"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1683ABBB">
            <w:pPr>
              <w:rPr>
                <w:rFonts w:hint="eastAsia" w:eastAsiaTheme="minorEastAsia"/>
                <w:lang w:val="en-US" w:eastAsia="zh-CN"/>
              </w:rPr>
            </w:pPr>
            <w:r>
              <w:rPr>
                <w:rFonts w:ascii="宋体" w:hAnsi="宋体"/>
                <w:sz w:val="21"/>
              </w:rPr>
              <w:t>董爵</w:t>
            </w:r>
            <w:r>
              <w:rPr>
                <w:rFonts w:hint="eastAsia" w:ascii="宋体" w:hAnsi="宋体"/>
                <w:sz w:val="21"/>
                <w:lang w:val="en-US" w:eastAsia="zh-CN"/>
              </w:rPr>
              <w:t>毅</w:t>
            </w:r>
            <w:bookmarkStart w:id="0" w:name="_GoBack"/>
            <w:bookmarkEnd w:id="0"/>
          </w:p>
        </w:tc>
        <w:tc>
          <w:tcPr>
            <w:tcW w:w="1082"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5AEB3C6E">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b/>
                <w:sz w:val="21"/>
                <w:szCs w:val="24"/>
              </w:rPr>
              <w:t>学</w:t>
            </w:r>
            <w:r>
              <w:rPr>
                <w:rFonts w:hint="eastAsia" w:ascii="宋体" w:hAnsi="宋体" w:eastAsia="宋体" w:cs="宋体"/>
                <w:b/>
                <w:sz w:val="21"/>
                <w:szCs w:val="24"/>
                <w:lang w:val="en-US" w:eastAsia="zh-CN"/>
              </w:rPr>
              <w:t xml:space="preserve"> </w:t>
            </w:r>
            <w:r>
              <w:rPr>
                <w:rFonts w:hint="eastAsia" w:ascii="宋体" w:hAnsi="宋体" w:eastAsia="宋体" w:cs="宋体"/>
                <w:b/>
                <w:sz w:val="21"/>
                <w:szCs w:val="24"/>
              </w:rPr>
              <w:t>号</w:t>
            </w:r>
          </w:p>
        </w:tc>
        <w:tc>
          <w:tcPr>
            <w:tcW w:w="1938"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672E92E9">
            <w:r>
              <w:rPr>
                <w:rFonts w:ascii="宋体" w:hAnsi="宋体"/>
                <w:sz w:val="21"/>
              </w:rPr>
              <w:t>202424120229</w:t>
            </w:r>
          </w:p>
        </w:tc>
        <w:tc>
          <w:tcPr>
            <w:tcW w:w="1000"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78FAC54E">
            <w:pPr>
              <w:spacing w:before="120" w:after="120" w:line="288" w:lineRule="auto"/>
              <w:ind w:left="0"/>
              <w:jc w:val="center"/>
              <w:rPr>
                <w:rFonts w:hint="eastAsia" w:ascii="宋体" w:hAnsi="宋体" w:eastAsia="宋体" w:cs="宋体"/>
                <w:sz w:val="24"/>
                <w:szCs w:val="24"/>
              </w:rPr>
            </w:pPr>
            <w:r>
              <w:rPr>
                <w:rFonts w:hint="eastAsia" w:ascii="宋体" w:hAnsi="宋体" w:eastAsia="宋体" w:cs="宋体"/>
                <w:b/>
                <w:sz w:val="21"/>
                <w:szCs w:val="24"/>
              </w:rPr>
              <w:t>班</w:t>
            </w:r>
            <w:r>
              <w:rPr>
                <w:rFonts w:hint="eastAsia" w:ascii="宋体" w:hAnsi="宋体" w:eastAsia="宋体" w:cs="宋体"/>
                <w:b/>
                <w:sz w:val="21"/>
                <w:szCs w:val="24"/>
                <w:lang w:val="en-US" w:eastAsia="zh-CN"/>
              </w:rPr>
              <w:t xml:space="preserve"> </w:t>
            </w:r>
            <w:r>
              <w:rPr>
                <w:rFonts w:hint="eastAsia" w:ascii="宋体" w:hAnsi="宋体" w:eastAsia="宋体" w:cs="宋体"/>
                <w:b/>
                <w:sz w:val="21"/>
                <w:szCs w:val="24"/>
              </w:rPr>
              <w:t>级</w:t>
            </w:r>
          </w:p>
        </w:tc>
        <w:tc>
          <w:tcPr>
            <w:tcW w:w="2708"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562D715C">
            <w:r>
              <w:rPr>
                <w:rFonts w:ascii="宋体" w:hAnsi="宋体"/>
                <w:sz w:val="21"/>
              </w:rPr>
              <w:t>软工2班</w:t>
            </w:r>
          </w:p>
        </w:tc>
      </w:tr>
      <w:tr w14:paraId="7DD0FF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73" w:type="dxa"/>
            <w:gridSpan w:val="2"/>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3401A392">
            <w:pPr>
              <w:spacing w:before="120" w:after="120" w:line="288" w:lineRule="auto"/>
              <w:ind w:left="0"/>
              <w:jc w:val="center"/>
              <w:rPr>
                <w:rFonts w:hint="eastAsia" w:ascii="宋体" w:hAnsi="宋体" w:eastAsia="宋体" w:cs="宋体"/>
                <w:sz w:val="24"/>
                <w:szCs w:val="24"/>
                <w:lang w:val="en-US" w:eastAsia="zh-CN"/>
              </w:rPr>
            </w:pPr>
            <w:r>
              <w:rPr>
                <w:rFonts w:hint="eastAsia" w:ascii="宋体" w:hAnsi="宋体" w:eastAsia="宋体" w:cs="宋体"/>
                <w:b/>
                <w:sz w:val="21"/>
                <w:szCs w:val="24"/>
                <w:lang w:val="en-US" w:eastAsia="zh-CN"/>
              </w:rPr>
              <w:t>见习地点</w:t>
            </w:r>
          </w:p>
        </w:tc>
        <w:tc>
          <w:tcPr>
            <w:tcW w:w="6728" w:type="dxa"/>
            <w:gridSpan w:val="4"/>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1F074317">
            <w:r>
              <w:rPr>
                <w:rFonts w:ascii="宋体" w:hAnsi="宋体"/>
                <w:sz w:val="21"/>
              </w:rPr>
              <w:t>信息楼317教室</w:t>
            </w:r>
          </w:p>
        </w:tc>
      </w:tr>
      <w:tr w14:paraId="65FA61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extDirection w:val="tbRlV"/>
            <w:vAlign w:val="center"/>
          </w:tcPr>
          <w:p w14:paraId="4FCD4602">
            <w:pPr>
              <w:spacing w:before="120" w:after="120" w:line="288" w:lineRule="auto"/>
              <w:ind w:left="113" w:right="113"/>
              <w:jc w:val="center"/>
              <w:rPr>
                <w:rFonts w:hint="eastAsia" w:ascii="宋体" w:hAnsi="宋体" w:eastAsia="宋体" w:cs="宋体"/>
                <w:sz w:val="28"/>
                <w:szCs w:val="28"/>
                <w:lang w:val="en-US" w:eastAsia="zh-CN"/>
              </w:rPr>
            </w:pPr>
            <w:r>
              <w:rPr>
                <w:rFonts w:hint="eastAsia" w:ascii="宋体" w:hAnsi="宋体" w:eastAsia="宋体" w:cs="宋体"/>
                <w:b/>
                <w:sz w:val="21"/>
                <w:szCs w:val="28"/>
                <w:lang w:val="en-US" w:eastAsia="zh-CN"/>
              </w:rPr>
              <w:t>见 习 内 容</w:t>
            </w:r>
          </w:p>
        </w:tc>
        <w:tc>
          <w:tcPr>
            <w:tcW w:w="8016" w:type="dxa"/>
            <w:gridSpan w:val="5"/>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5A3EE04A">
            <w:pPr>
              <w:keepNext/>
              <w:spacing w:after="100" w:line="300" w:lineRule="auto"/>
              <w:jc w:val="left"/>
            </w:pPr>
            <w:r>
              <w:rPr>
                <w:rFonts w:ascii="Times New Roman" w:hAnsi="Times New Roman" w:eastAsia="宋体"/>
                <w:b/>
                <w:sz w:val="21"/>
              </w:rPr>
              <w:t>一 本周工作目标与版本范围</w:t>
            </w:r>
          </w:p>
          <w:p w14:paraId="759BBEDC">
            <w:pPr>
              <w:spacing w:after="100" w:line="300" w:lineRule="auto"/>
              <w:ind w:firstLine="420"/>
              <w:jc w:val="both"/>
            </w:pPr>
            <w:r>
              <w:rPr>
                <w:rFonts w:ascii="Times New Roman" w:hAnsi="Times New Roman" w:eastAsia="宋体"/>
                <w:sz w:val="21"/>
              </w:rPr>
              <w:t>本周的见习围绕智能互动教学平台 Demo 0.2 的迭代展开，主要任务是理解需求、熟悉现有原型、整理工程结构并形成课程管理的基础实现。项目原有 Demo 0.1 已经展示工作台、生成课堂、互动课堂等操作入口，本次更新需要在这些页面和使用流程的基础上增加数据处理能力。我从课程的创建、展示和再次打开三个环节入手，理解教师输入主题后需要获得什么反馈，以及页面刷新后应当保留哪些信息。第一周的重点放在课程对象、业务接口和本地存储上，真实模型生成、完整课堂编排和学习效果分析仍属于后续建设内容。通过限定版本范围，本周的工作有了明确的观察对象，也便于把需求描述转化为具体的代码检查项目。</w:t>
            </w:r>
          </w:p>
          <w:p w14:paraId="10EF2338">
            <w:pPr>
              <w:keepNext/>
              <w:spacing w:after="100" w:line="300" w:lineRule="auto"/>
              <w:jc w:val="left"/>
            </w:pPr>
            <w:r>
              <w:rPr>
                <w:rFonts w:ascii="Times New Roman" w:hAnsi="Times New Roman" w:eastAsia="宋体"/>
                <w:b/>
                <w:sz w:val="21"/>
              </w:rPr>
              <w:t>二 需求阅读与流程梳理</w:t>
            </w:r>
          </w:p>
          <w:p w14:paraId="14BAA055">
            <w:pPr>
              <w:spacing w:after="100" w:line="300" w:lineRule="auto"/>
              <w:ind w:firstLine="420"/>
              <w:jc w:val="both"/>
            </w:pPr>
            <w:r>
              <w:rPr>
                <w:rFonts w:ascii="Times New Roman" w:hAnsi="Times New Roman" w:eastAsia="宋体"/>
                <w:sz w:val="21"/>
              </w:rPr>
              <w:t>阅读项目材料时，我把平台功能放回教学场景中理解。教师准备一节课，既需要给课程命名，也需要知道它面向哪个年级、属于什么学科、目前是草稿还是已发布状态。课程进入工作台后，应当可以被打开和管理，而不是只在生成页面出现一次。我据此梳理了输入主题、提交请求、形成课程记录、返回工作台、再次打开的基本流程，并关注空主题、请求失败和没有课程等边界情况。需求文档中的场景、题目和答题记录提示了后续数据模型的发展方向，但不能因为文档中已经列出，就认为当前代码已全部实现。对本周版本，我重点记录已有字段和接口，其他能力作为下一阶段需要细化的事项。</w:t>
            </w:r>
          </w:p>
          <w:p w14:paraId="70D64FA9">
            <w:pPr>
              <w:keepNext/>
              <w:spacing w:after="100" w:line="300" w:lineRule="auto"/>
              <w:jc w:val="left"/>
            </w:pPr>
            <w:r>
              <w:rPr>
                <w:rFonts w:ascii="Times New Roman" w:hAnsi="Times New Roman" w:eastAsia="宋体"/>
                <w:b/>
                <w:sz w:val="21"/>
              </w:rPr>
              <w:t>三 原型继承与页面入口</w:t>
            </w:r>
          </w:p>
          <w:p w14:paraId="3B5F650C">
            <w:pPr>
              <w:spacing w:after="100" w:line="300" w:lineRule="auto"/>
              <w:ind w:firstLine="420"/>
              <w:jc w:val="both"/>
            </w:pPr>
            <w:r>
              <w:rPr>
                <w:rFonts w:ascii="Times New Roman" w:hAnsi="Times New Roman" w:eastAsia="宋体"/>
                <w:sz w:val="21"/>
              </w:rPr>
              <w:t>查看静态 Demo 0.2 时，我关注它是否延续原型的导航方式、工作台布局和互动课堂入口。增量迭代不仅意味着增加功能，也要求用户能继续找到熟悉的操作位置。本次静态页面保留了原型的整体结构，同时把课程列表与课程数组关联起来，课程标题和状态能够随当前记录变化。项目还存在独立的 Vue 工程，它承担后续组件化开发的基础任务，页面入口与静态展示版并非完全相同。因此在整理成果时，需要分别说明静态演示页面和工程前端的用途，不能把一个页面中的功能直接当作另一入口已经具备的功能。保留原型有助于连续展示，工程化则为进一步维护和扩展创造条件。</w:t>
            </w:r>
          </w:p>
          <w:p w14:paraId="2CF9F31D">
            <w:pPr>
              <w:keepNext/>
              <w:spacing w:after="100" w:line="300" w:lineRule="auto"/>
              <w:jc w:val="left"/>
            </w:pPr>
            <w:r>
              <w:rPr>
                <w:rFonts w:ascii="Times New Roman" w:hAnsi="Times New Roman" w:eastAsia="宋体"/>
                <w:b/>
                <w:sz w:val="21"/>
              </w:rPr>
              <w:t>四 工程目录与服务分工</w:t>
            </w:r>
          </w:p>
          <w:p w14:paraId="2BC06CEC">
            <w:pPr>
              <w:spacing w:after="100" w:line="300" w:lineRule="auto"/>
              <w:ind w:firstLine="420"/>
              <w:jc w:val="both"/>
            </w:pPr>
            <w:r>
              <w:rPr>
                <w:rFonts w:ascii="Times New Roman" w:hAnsi="Times New Roman" w:eastAsia="宋体"/>
                <w:sz w:val="21"/>
              </w:rPr>
              <w:t>本周结合代码了解了前端、业务后端和 AI 服务的目录划分。前端采用 Vue、Vite 和 TypeScript，负责收集输入、展示课程、维护页面状态并请求接口；业务后端采用 Spring Boot 和数据访问组件，负责课程记录的存储与读写；AI 服务采用 FastAPI，提供独立的健康检查与结构化生成入口。这样的划分让不同模块可以围绕约定的数据格式协作，也方便定位问题属于页面还是服务。现阶段目录中还包含面向后续工作的说明和预留内容，判断完成度时仍要回到实际代码。通过对照目录、配置和接口文件，我逐渐建立了从页面动作追踪到数据处理位置的阅读方法，而不再只根据文件名称推测实现情况。</w:t>
            </w:r>
          </w:p>
          <w:p w14:paraId="1CA70AB4">
            <w:pPr>
              <w:keepNext/>
              <w:spacing w:after="100" w:line="300" w:lineRule="auto"/>
              <w:jc w:val="left"/>
            </w:pPr>
            <w:r>
              <w:rPr>
                <w:rFonts w:ascii="Times New Roman" w:hAnsi="Times New Roman" w:eastAsia="宋体"/>
                <w:b/>
                <w:sz w:val="21"/>
              </w:rPr>
              <w:t>五 课程对象与数据字段</w:t>
            </w:r>
          </w:p>
          <w:p w14:paraId="1EFBCB5F">
            <w:pPr>
              <w:spacing w:after="100" w:line="300" w:lineRule="auto"/>
              <w:ind w:firstLine="420"/>
              <w:jc w:val="both"/>
            </w:pPr>
            <w:r>
              <w:rPr>
                <w:rFonts w:ascii="Times New Roman" w:hAnsi="Times New Roman" w:eastAsia="宋体"/>
                <w:sz w:val="21"/>
              </w:rPr>
              <w:t>课程对象是本周最核心的数据载体。当前模型包含课程编号、标题、学科、年级、状态、场景数量和更新时间等信息，前端课程卡片也围绕这些字段展示。编号用于确定记录身份，标题便于用户识别课程，状态用来区分草稿和示例发布内容，更新时间帮助理解记录变化。模型中的场景数量只是一个数值，不能等同于完整场景内容已经按课程持久化；同样，课程状态字段也不能代表审核发布流程已经完成。通过逐项分析字段含义，我认识到数据模型既要满足当前页面，也要避免表达超出当前实现的业务承诺。后续如果加入场景顺序、题目答案和答题过程，需要建立对应对象及关系，不能继续只依赖一个数量字段。</w:t>
            </w:r>
          </w:p>
          <w:p w14:paraId="2FAB1EB3">
            <w:pPr>
              <w:keepNext/>
              <w:spacing w:after="100" w:line="300" w:lineRule="auto"/>
              <w:jc w:val="left"/>
            </w:pPr>
            <w:r>
              <w:rPr>
                <w:rFonts w:ascii="Times New Roman" w:hAnsi="Times New Roman" w:eastAsia="宋体"/>
                <w:b/>
                <w:sz w:val="21"/>
              </w:rPr>
              <w:t>六 课程接口与数据访问</w:t>
            </w:r>
          </w:p>
          <w:p w14:paraId="079385B4">
            <w:pPr>
              <w:spacing w:after="100" w:line="300" w:lineRule="auto"/>
              <w:ind w:firstLine="420"/>
              <w:jc w:val="both"/>
            </w:pPr>
            <w:r>
              <w:rPr>
                <w:rFonts w:ascii="Times New Roman" w:hAnsi="Times New Roman" w:eastAsia="宋体"/>
                <w:sz w:val="21"/>
              </w:rPr>
              <w:t>后端课程控制器提供列表查询、详情查询、新增、修改和删除等接口，课程仓库承担数据库访问工作。理解这些接口时，我把请求路径、请求方法、输入字段和返回内容放在一起看，尝试说明每一次页面操作对应哪种数据变化。列表查询支持工作台展示，详情查询面向具体课程，新增用于形成草稿，修改和删除则属于记录维护。前端当前主要围绕创建、列表和删除构建操作路径，后端存在修改接口并不说明完整的编辑页面已经交付。这样的区分有助于准确记录本周进度。接口代码是否存在、能否在运行环境中调用、用户能否通过页面完成操作，是三个相互关联但不能混为一谈的检查层次。</w:t>
            </w:r>
          </w:p>
          <w:p w14:paraId="4340E492">
            <w:pPr>
              <w:keepNext/>
              <w:spacing w:after="100" w:line="300" w:lineRule="auto"/>
              <w:jc w:val="left"/>
            </w:pPr>
            <w:r>
              <w:rPr>
                <w:rFonts w:ascii="Times New Roman" w:hAnsi="Times New Roman" w:eastAsia="宋体"/>
                <w:b/>
                <w:sz w:val="21"/>
              </w:rPr>
              <w:t>七 数据库配置与初始数据</w:t>
            </w:r>
          </w:p>
          <w:p w14:paraId="319BB215">
            <w:pPr>
              <w:spacing w:after="100" w:line="300" w:lineRule="auto"/>
              <w:ind w:firstLine="420"/>
              <w:jc w:val="both"/>
            </w:pPr>
            <w:r>
              <w:rPr>
                <w:rFonts w:ascii="Times New Roman" w:hAnsi="Times New Roman" w:eastAsia="宋体"/>
                <w:sz w:val="21"/>
              </w:rPr>
              <w:t>本周还了解了默认数据库配置及示例数据的作用。后端采用 H2 文件数据库作为默认方案，降低本地开发时准备独立数据库的负担，配置中保留了通过环境变量调整连接的方式。文件存储与进程内临时数据不同，但实际保存位置仍与应用的启动目录和配置有关，因此不能仅根据选型就承诺任何环境下数据都不会丢失。初始化代码在缺少课程记录时写入示例课程，便于第一次查看页面时理解卡片和课堂入口。示例数据应与用户创建的数据区分，初始化也需要避免反复写入相同内容。阅读这部分代码让我把数据库选型、启动方式、初始状态和演示体验联系起来，认识到运行环境也是功能交付的一部分。</w:t>
            </w:r>
          </w:p>
          <w:p w14:paraId="1FFEC2FC">
            <w:pPr>
              <w:keepNext/>
              <w:spacing w:after="100" w:line="300" w:lineRule="auto"/>
              <w:jc w:val="left"/>
            </w:pPr>
            <w:r>
              <w:rPr>
                <w:rFonts w:ascii="Times New Roman" w:hAnsi="Times New Roman" w:eastAsia="宋体"/>
                <w:b/>
                <w:sz w:val="21"/>
              </w:rPr>
              <w:t>八 前端输入与课程展示</w:t>
            </w:r>
          </w:p>
          <w:p w14:paraId="1764172C">
            <w:pPr>
              <w:spacing w:after="100" w:line="300" w:lineRule="auto"/>
              <w:ind w:firstLine="420"/>
              <w:jc w:val="both"/>
            </w:pPr>
            <w:r>
              <w:rPr>
                <w:rFonts w:ascii="Times New Roman" w:hAnsi="Times New Roman" w:eastAsia="宋体"/>
                <w:sz w:val="21"/>
              </w:rPr>
              <w:t>前端的生成动作以主题输入为起点，提交前先检查去除空白后的内容，避免创建没有实际主题的课程。请求过程中设置加载状态，可以向用户表达等待并减少连续点击；请求完成后，课程数据进入列表或课堂页面，形成可见反馈。在工程前端中，页面状态、课程数组和当前课程之间存在联动，打开某门课程时需要确保展示对象确实来自用户选择。静态页面则用页面切换和动态渲染实现类似体验。对这些逻辑的阅读使我意识到，输入校验、按钮状态、列表更新和提示文字共同构成一次操作，而不是只要发出请求就算完成。后续还需进一步核对重复提交、长标题和空列表情况下的表现。</w:t>
            </w:r>
          </w:p>
          <w:p w14:paraId="39CB382C">
            <w:pPr>
              <w:keepNext/>
              <w:spacing w:after="100" w:line="300" w:lineRule="auto"/>
              <w:jc w:val="left"/>
            </w:pPr>
            <w:r>
              <w:rPr>
                <w:rFonts w:ascii="Times New Roman" w:hAnsi="Times New Roman" w:eastAsia="宋体"/>
                <w:b/>
                <w:sz w:val="21"/>
              </w:rPr>
              <w:t>九 本地保存与离线演示</w:t>
            </w:r>
          </w:p>
          <w:p w14:paraId="2CBC6662">
            <w:pPr>
              <w:spacing w:after="100" w:line="300" w:lineRule="auto"/>
              <w:ind w:firstLine="420"/>
              <w:jc w:val="both"/>
            </w:pPr>
            <w:r>
              <w:rPr>
                <w:rFonts w:ascii="Times New Roman" w:hAnsi="Times New Roman" w:eastAsia="宋体"/>
                <w:sz w:val="21"/>
              </w:rPr>
              <w:t>为降低演示对后端启动状态的依赖，页面使用浏览器本地存储保存课程数据，并在业务请求失败时保留本地操作路径。这个设计让没有启动全部服务时仍可观察课程创建和刷新恢复的基本过程，但它也带来了新的边界：本地数据只属于当前浏览器环境，不会自然同步到其他设备，也不等于服务端备份。项目不同入口的缓存更新逻辑存在差别，需要分别核对，不能笼统认为所有请求成功后都已同步缓存。离线期间创建的记录与后端重新加载的列表可能不一致，目前也没有完整的冲突合并机制。因此，本周把本地存储视为演示降级方案，并把连接恢复后的同步策略列为后续需要明确的工作。</w:t>
            </w:r>
          </w:p>
          <w:p w14:paraId="33BB02D6">
            <w:pPr>
              <w:keepNext/>
              <w:spacing w:after="100" w:line="300" w:lineRule="auto"/>
              <w:jc w:val="left"/>
            </w:pPr>
            <w:r>
              <w:rPr>
                <w:rFonts w:ascii="Times New Roman" w:hAnsi="Times New Roman" w:eastAsia="宋体"/>
                <w:b/>
                <w:sz w:val="21"/>
              </w:rPr>
              <w:t>十 AI 接口与课堂交互</w:t>
            </w:r>
          </w:p>
          <w:p w14:paraId="635B5C22">
            <w:pPr>
              <w:spacing w:after="100" w:line="300" w:lineRule="auto"/>
              <w:ind w:firstLine="420"/>
              <w:jc w:val="both"/>
            </w:pPr>
            <w:r>
              <w:rPr>
                <w:rFonts w:ascii="Times New Roman" w:hAnsi="Times New Roman" w:eastAsia="宋体"/>
                <w:sz w:val="21"/>
              </w:rPr>
              <w:t>AI 服务在本周主要承担结构化模拟输出的作用。它提供生成入口及相关数据结构，使后续模型接入有明确的输入输出边界。稳定的模拟结果可以帮助理解课堂内容的组织方式，但课程创建按钮成功并不代表已经调用真实模型生成了完整教案。静态互动课堂中保留了一些讲解、提问和测验体验，其中的固定回答及模拟播放提示应按演示能力说明。尤其在提问请求失败时，固定示例解释不能覆盖任意课程主题，也不能作为开放式智能问答的依据。通过梳理这些边界，我把当前已有的接口骨架、页面模拟交互和下一阶段的真实生成任务区分开来，避免在周志中夸大智能化程度。</w:t>
            </w:r>
          </w:p>
          <w:p w14:paraId="358D39F5">
            <w:pPr>
              <w:keepNext/>
              <w:spacing w:after="100" w:line="300" w:lineRule="auto"/>
              <w:jc w:val="left"/>
            </w:pPr>
            <w:r>
              <w:rPr>
                <w:rFonts w:ascii="Times New Roman" w:hAnsi="Times New Roman" w:eastAsia="宋体"/>
                <w:b/>
                <w:sz w:val="21"/>
              </w:rPr>
              <w:t>十一 联调路径与检查记录</w:t>
            </w:r>
          </w:p>
          <w:p w14:paraId="166689C3">
            <w:pPr>
              <w:spacing w:after="100" w:line="300" w:lineRule="auto"/>
              <w:ind w:firstLine="420"/>
              <w:jc w:val="both"/>
            </w:pPr>
            <w:r>
              <w:rPr>
                <w:rFonts w:ascii="Times New Roman" w:hAnsi="Times New Roman" w:eastAsia="宋体"/>
                <w:sz w:val="21"/>
              </w:rPr>
              <w:t>围绕课程主流程，我整理了适合本版本的检查顺序：确认入口，输入有效主题，观察课程列表变化，打开课程，返回工作台，再检查刷新与删除行为。服务可用和不可用两种条件需要分别记录，因为本地降级可能让页面看起来成功，却没有证明数据库或接口正常。已有工作中完成过脚本语法与文件结构等基础检查，这些证据可以支持入口和代码组织的说明，但不能代替完整浏览器操作、后端启动和数据库核验。对尚未充分验证的步骤，应保留为验收路径和待检查事项，而不编写未经确认的通过结论。这样的记录方式能让后续接手人员知道哪些内容已有依据，哪些仍需补充运行结果。</w:t>
            </w:r>
          </w:p>
          <w:p w14:paraId="6351C911">
            <w:pPr>
              <w:keepNext/>
              <w:spacing w:after="100" w:line="300" w:lineRule="auto"/>
              <w:jc w:val="left"/>
            </w:pPr>
            <w:r>
              <w:rPr>
                <w:rFonts w:ascii="Times New Roman" w:hAnsi="Times New Roman" w:eastAsia="宋体"/>
                <w:b/>
                <w:sz w:val="21"/>
              </w:rPr>
              <w:t>十二 版本整理与下阶段安排</w:t>
            </w:r>
          </w:p>
          <w:p w14:paraId="60D2B414">
            <w:pPr>
              <w:spacing w:after="100" w:line="300" w:lineRule="auto"/>
              <w:ind w:firstLine="420"/>
              <w:jc w:val="both"/>
            </w:pPr>
            <w:r>
              <w:rPr>
                <w:rFonts w:ascii="Times New Roman" w:hAnsi="Times New Roman" w:eastAsia="宋体"/>
                <w:sz w:val="21"/>
              </w:rPr>
              <w:t>另外，本周结合项目配置梳理了运行准备事项，包括前端依赖、业务服务端口、数据库文件位置和人工智能服务的独立启动方式。配置文件中出现某项依赖，只能说明工程准备使用它，不能证明对应功能已经完成。整理时我把实际接口、预留目录和未来说明分开记录，并注意静态页面直接打开与开发服务器启动之间的请求路径差异。后续验收需要记录采用哪个入口、是否连接业务服务，以及数据保存到何处，让同一组操作能够被其他成员重现。</w:t>
            </w:r>
          </w:p>
          <w:p w14:paraId="6E579AE7">
            <w:pPr>
              <w:keepNext/>
              <w:spacing w:after="100" w:line="300" w:lineRule="auto"/>
              <w:jc w:val="left"/>
            </w:pPr>
            <w:r>
              <w:rPr>
                <w:rFonts w:ascii="Times New Roman" w:hAnsi="Times New Roman" w:eastAsia="宋体"/>
                <w:b/>
                <w:sz w:val="21"/>
              </w:rPr>
              <w:t>本次迭代的收尾包括把静态服务默认入口调整到 Demo 0.2，删除旧 Demo 0.1 页面文件，并同步项目说明。入口清理解决了误打开旧版页面的问题，也使当前交付对象更加明确。总结本周工作时，我把课程接口、前端草稿操作、本地演示保存和 AI 模拟结构归为基础成果，把完整场景持久化、真实模型调用、连续问答和细化测试归为后续任务。下一阶段需要先补充接口与数据关系，再处理课程内容与主题的一致性，最后扩展更丰富的课堂交互。通过这样的安排，周计划能够与代码变化对应，也能避免在基础数据尚未稳定时同时推进过多功能。</w:t>
            </w:r>
          </w:p>
        </w:tc>
      </w:tr>
      <w:tr w14:paraId="65386E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textDirection w:val="tbRlV"/>
            <w:vAlign w:val="center"/>
          </w:tcPr>
          <w:p w14:paraId="762C1D04">
            <w:pPr>
              <w:spacing w:before="120" w:after="120" w:line="288" w:lineRule="auto"/>
              <w:ind w:left="113" w:right="113"/>
              <w:jc w:val="center"/>
              <w:rPr>
                <w:rFonts w:hint="eastAsia" w:ascii="宋体" w:hAnsi="宋体" w:eastAsia="宋体" w:cs="宋体"/>
                <w:sz w:val="28"/>
                <w:szCs w:val="28"/>
                <w:lang w:val="en-US" w:eastAsia="zh-CN"/>
              </w:rPr>
            </w:pPr>
            <w:r>
              <w:rPr>
                <w:rFonts w:hint="eastAsia" w:ascii="宋体" w:hAnsi="宋体" w:eastAsia="宋体" w:cs="宋体"/>
                <w:b/>
                <w:sz w:val="21"/>
                <w:szCs w:val="28"/>
                <w:lang w:val="en-US" w:eastAsia="zh-CN"/>
              </w:rPr>
              <w:t>见 习 心 得</w:t>
            </w:r>
          </w:p>
        </w:tc>
        <w:tc>
          <w:tcPr>
            <w:tcW w:w="8016" w:type="dxa"/>
            <w:gridSpan w:val="5"/>
            <w:tcBorders>
              <w:top w:val="single" w:color="auto" w:sz="2" w:space="0"/>
              <w:left w:val="single" w:color="auto" w:sz="2" w:space="0"/>
              <w:bottom w:val="single" w:color="auto" w:sz="2" w:space="0"/>
              <w:right w:val="single" w:color="auto" w:sz="2" w:space="0"/>
            </w:tcBorders>
            <w:tcMar>
              <w:top w:w="60" w:type="dxa"/>
              <w:left w:w="120" w:type="dxa"/>
              <w:bottom w:w="30" w:type="dxa"/>
              <w:right w:w="120" w:type="dxa"/>
            </w:tcMar>
            <w:vAlign w:val="center"/>
          </w:tcPr>
          <w:p w14:paraId="20C2F5A6">
            <w:pPr>
              <w:keepNext/>
              <w:spacing w:after="100" w:line="300" w:lineRule="auto"/>
              <w:jc w:val="left"/>
            </w:pPr>
            <w:r>
              <w:rPr>
                <w:rFonts w:ascii="Times New Roman" w:hAnsi="Times New Roman" w:eastAsia="宋体"/>
                <w:b/>
                <w:sz w:val="21"/>
              </w:rPr>
              <w:t>一 从原型展示到工程实现的认识</w:t>
            </w:r>
          </w:p>
          <w:p w14:paraId="71712AE9">
            <w:pPr>
              <w:spacing w:after="100" w:line="300" w:lineRule="auto"/>
              <w:ind w:firstLine="420"/>
              <w:jc w:val="both"/>
            </w:pPr>
            <w:r>
              <w:rPr>
                <w:rFonts w:ascii="Times New Roman" w:hAnsi="Times New Roman" w:eastAsia="宋体"/>
                <w:sz w:val="21"/>
              </w:rPr>
              <w:t>通过本周围绕 Demo 0.2 的学习，我对软件迭代有了更具体的理解。过去看见页面上存在按钮、卡片和导航时，容易把界面完整理解为系统完整；阅读项目代码后才发现，页面背后还需要数据对象、存储方式、接口约定和异常处理共同支撑。一个课程标题能够显示，并不说明它已经保存到数据库；一个生成提示出现，也不说明真实模型已经参与。这样的区别提醒我，评价软件不能只看正常情况下的展示效果，还要追问数据来自哪里、操作如何生效、下一次打开是否能够继续。本周带给我的重要收获，是开始沿着完整用户操作理解程序，而不是把页面和后台分别当成互不相关的知识点。</w:t>
            </w:r>
          </w:p>
          <w:p w14:paraId="5781460C">
            <w:pPr>
              <w:keepNext/>
              <w:spacing w:after="100" w:line="300" w:lineRule="auto"/>
              <w:jc w:val="left"/>
            </w:pPr>
            <w:r>
              <w:rPr>
                <w:rFonts w:ascii="Times New Roman" w:hAnsi="Times New Roman" w:eastAsia="宋体"/>
                <w:b/>
                <w:sz w:val="21"/>
              </w:rPr>
              <w:t>二 对需求拆分和范围控制的体会</w:t>
            </w:r>
          </w:p>
          <w:p w14:paraId="70438711">
            <w:pPr>
              <w:spacing w:after="100" w:line="300" w:lineRule="auto"/>
              <w:ind w:firstLine="420"/>
              <w:jc w:val="both"/>
            </w:pPr>
            <w:r>
              <w:rPr>
                <w:rFonts w:ascii="Times New Roman" w:hAnsi="Times New Roman" w:eastAsia="宋体"/>
                <w:sz w:val="21"/>
              </w:rPr>
              <w:t>需求文档描述的是平台希望达到的目标，周计划描述的是当前阶段能够完成的部分。两者如果不加区分，就容易把长期建设目标直接变成本周承诺，导致任务分散。本周版本围绕课程对象和基础操作展开，是一个有价值的练习：先让最小记录具备创建和再次使用的可能，再逐步增加场景、测验和问答能力。我认识到范围控制不是减少责任，而是把工作拆成可以检查的阶段。对暂未完成的内容，应说明依赖关系和后续位置；对已经形成代码的内容，也应区分实现与验证程度。今后接到较大的功能任务时，我会先问清用户最终操作，再找出其中最小、可观察的数据变化，作为拆分工作的起点。</w:t>
            </w:r>
          </w:p>
          <w:p w14:paraId="18EDFFEE">
            <w:pPr>
              <w:keepNext/>
              <w:spacing w:after="100" w:line="300" w:lineRule="auto"/>
              <w:jc w:val="left"/>
            </w:pPr>
            <w:r>
              <w:rPr>
                <w:rFonts w:ascii="Times New Roman" w:hAnsi="Times New Roman" w:eastAsia="宋体"/>
                <w:b/>
                <w:sz w:val="21"/>
              </w:rPr>
              <w:t>三 数据模型比页面文字更重要</w:t>
            </w:r>
          </w:p>
          <w:p w14:paraId="26390528">
            <w:pPr>
              <w:spacing w:after="100" w:line="300" w:lineRule="auto"/>
              <w:ind w:firstLine="420"/>
              <w:jc w:val="both"/>
            </w:pPr>
            <w:r>
              <w:rPr>
                <w:rFonts w:ascii="Times New Roman" w:hAnsi="Times New Roman" w:eastAsia="宋体"/>
                <w:sz w:val="21"/>
              </w:rPr>
              <w:t>分析课程字段时，我发现很多看似简单的设计都会影响后续扩展。编号决定一条记录如何被识别，状态影响界面如何解释课程，更新时间关系到用户对保存结果的判断，而场景数量只表达数量，无法承载场景顺序和具体内容。如果为了快速展示而把多个含义压在同一个字段中，后续增加功能时就容易出现理解冲突。这让我体会到数据模型应当准确描述业务对象，而不是仅满足某一张页面截图。对于下一阶段的场景、题目和答题记录，我需要进一步学习对象之间的关联、删除时的处理以及历史记录的保留方式。把这些关系提前讨论清楚，比事后在各个页面补充临时判断更有帮助。</w:t>
            </w:r>
          </w:p>
          <w:p w14:paraId="4778554A">
            <w:pPr>
              <w:keepNext/>
              <w:spacing w:after="100" w:line="300" w:lineRule="auto"/>
              <w:jc w:val="left"/>
            </w:pPr>
            <w:r>
              <w:rPr>
                <w:rFonts w:ascii="Times New Roman" w:hAnsi="Times New Roman" w:eastAsia="宋体"/>
                <w:b/>
                <w:sz w:val="21"/>
              </w:rPr>
              <w:t>四 对前端状态和反馈的理解</w:t>
            </w:r>
          </w:p>
          <w:p w14:paraId="0E878E95">
            <w:pPr>
              <w:spacing w:after="100" w:line="300" w:lineRule="auto"/>
              <w:ind w:firstLine="420"/>
              <w:jc w:val="both"/>
            </w:pPr>
            <w:r>
              <w:rPr>
                <w:rFonts w:ascii="Times New Roman" w:hAnsi="Times New Roman" w:eastAsia="宋体"/>
                <w:sz w:val="21"/>
              </w:rPr>
              <w:t>前端开发给我的感受是，用户看到的一次点击其实对应多个连续状态。输入为空时应提示修改，请求发出后应表达等待，结果返回后应更新列表，失败时则需要说明下一步能做什么。如果这些状态处理不完整，即使后台功能正确，用户仍可能产生重复操作或误解。本周项目中的加载标记、主题校验和保存提示让我看到了这些细节的作用，也让我注意到提示必须与实际结果一致。例如保存到本地与保存到服务器，对用户而言具有不同意义，不能始终使用相同的成功说明。未来实现页面时，我会先列出操作前、处理中、成功、失败和空数据几种状态，再检查各状态下的按钮与文案是否相互一致。</w:t>
            </w:r>
          </w:p>
          <w:p w14:paraId="3016F00F">
            <w:pPr>
              <w:keepNext/>
              <w:spacing w:after="100" w:line="300" w:lineRule="auto"/>
              <w:jc w:val="left"/>
            </w:pPr>
            <w:r>
              <w:rPr>
                <w:rFonts w:ascii="Times New Roman" w:hAnsi="Times New Roman" w:eastAsia="宋体"/>
                <w:b/>
                <w:sz w:val="21"/>
              </w:rPr>
              <w:t>五 对分层结构和接口约定的理解</w:t>
            </w:r>
          </w:p>
          <w:p w14:paraId="7726B095">
            <w:pPr>
              <w:spacing w:after="100" w:line="300" w:lineRule="auto"/>
              <w:ind w:firstLine="420"/>
              <w:jc w:val="both"/>
            </w:pPr>
            <w:r>
              <w:rPr>
                <w:rFonts w:ascii="Times New Roman" w:hAnsi="Times New Roman" w:eastAsia="宋体"/>
                <w:sz w:val="21"/>
              </w:rPr>
              <w:t>阅读前端、后端和 AI 服务的目录时，我感受到职责划分能够降低理解代码的成本。前端关注输入与展示，业务后端关注课程记录，AI 服务关注生成结果的结构。各部分可以独立变化，但前提是连接它们的接口足够明确。字段名称、请求方式、返回包装和错误表示如果没有统一，即使每个模块内部看起来正确，组合后也可能出现问题。我的学习重点因此从单个函数扩展到模块之间的约定：谁提供数据，谁负责校验，谁决定默认值，发生错误后由谁解释。今后参与协作时，我希望能够用具体的请求和响应示例表达需求，而不是只说接口“差不多可用”，让双方有可以共同核对的依据。</w:t>
            </w:r>
          </w:p>
          <w:p w14:paraId="3133A529">
            <w:pPr>
              <w:keepNext/>
              <w:spacing w:after="100" w:line="300" w:lineRule="auto"/>
              <w:jc w:val="left"/>
            </w:pPr>
            <w:r>
              <w:rPr>
                <w:rFonts w:ascii="Times New Roman" w:hAnsi="Times New Roman" w:eastAsia="宋体"/>
                <w:b/>
                <w:sz w:val="21"/>
              </w:rPr>
              <w:t>六 对存储和数据一致性的体会</w:t>
            </w:r>
          </w:p>
          <w:p w14:paraId="76504D5A">
            <w:pPr>
              <w:spacing w:after="100" w:line="300" w:lineRule="auto"/>
              <w:ind w:firstLine="420"/>
              <w:jc w:val="both"/>
            </w:pPr>
            <w:r>
              <w:rPr>
                <w:rFonts w:ascii="Times New Roman" w:hAnsi="Times New Roman" w:eastAsia="宋体"/>
                <w:sz w:val="21"/>
              </w:rPr>
              <w:t>本地存储的回退方案使演示更方便，也让我第一次认真考虑不同数据来源之间的关系。浏览器缓存、页面内存和数据库都可能包含课程，但它们不是天然一致的。离线创建后重新连接，究竟保留哪一份数据；本地删除成功而服务端删除失败，刷新后是否重新出现；换一台设备后是否还能找到课程，这些问题都不能依靠一个保存按钮解决。我认识到持久化不只是调用存储方法，还涉及数据归属、保存范围、冲突处理和恢复策略。对目前的 Demo，可以明确说明本地模式的限制；对未来正式使用的系统，则需要更完整的同步规则。这也提醒我，不应把演示环境中的顺利操作直接当作数据可靠性的全部证明。</w:t>
            </w:r>
          </w:p>
          <w:p w14:paraId="3F16814C">
            <w:pPr>
              <w:keepNext/>
              <w:spacing w:after="100" w:line="300" w:lineRule="auto"/>
              <w:jc w:val="left"/>
            </w:pPr>
            <w:r>
              <w:rPr>
                <w:rFonts w:ascii="Times New Roman" w:hAnsi="Times New Roman" w:eastAsia="宋体"/>
                <w:b/>
                <w:sz w:val="21"/>
              </w:rPr>
              <w:t>七 对智能功能边界的体会</w:t>
            </w:r>
          </w:p>
          <w:p w14:paraId="0751CE2D">
            <w:pPr>
              <w:spacing w:after="100" w:line="300" w:lineRule="auto"/>
              <w:ind w:firstLine="420"/>
              <w:jc w:val="both"/>
            </w:pPr>
            <w:r>
              <w:rPr>
                <w:rFonts w:ascii="Times New Roman" w:hAnsi="Times New Roman" w:eastAsia="宋体"/>
                <w:sz w:val="21"/>
              </w:rPr>
              <w:t>智能互动教学平台的名称容易让人首先关注模型生成效果，但本周的代码让我看到，智能能力同样需要普通软件工程基础。没有明确输入和可解析输出，再好的生成文本也难以稳定进入课堂页面。模拟服务在早期可以帮助定义结构、减少外部依赖，但它的作用是支持开发，不是证明已经具备真实智能。本周我特别注意把固定回答、模拟播放和真实模型调用区分开来，因为教师可能依据平台内容组织教学，系统不应让使用者误判内容来源。后续如果接入真实模型，还需要考虑主题关联、事实核对、超时处理和教师审核。我希望把智能能力做成可解释、可调整的辅助工具，而不是只增加一个看似智能的按钮。</w:t>
            </w:r>
          </w:p>
          <w:p w14:paraId="149C8E12">
            <w:pPr>
              <w:keepNext/>
              <w:spacing w:after="100" w:line="300" w:lineRule="auto"/>
              <w:jc w:val="left"/>
            </w:pPr>
            <w:r>
              <w:rPr>
                <w:rFonts w:ascii="Times New Roman" w:hAnsi="Times New Roman" w:eastAsia="宋体"/>
                <w:b/>
                <w:sz w:val="21"/>
              </w:rPr>
              <w:t>八 对验证证据和问题定位的反思</w:t>
            </w:r>
          </w:p>
          <w:p w14:paraId="3AC46139">
            <w:pPr>
              <w:spacing w:after="100" w:line="300" w:lineRule="auto"/>
              <w:ind w:firstLine="420"/>
              <w:jc w:val="both"/>
            </w:pPr>
            <w:r>
              <w:rPr>
                <w:rFonts w:ascii="Times New Roman" w:hAnsi="Times New Roman" w:eastAsia="宋体"/>
                <w:sz w:val="21"/>
              </w:rPr>
              <w:t>软件能否运行，应该由与结论相匹配的证据支持。脚本语法检查能够发现语法问题，却不能说明用户流程全部正常；接口代码存在，不能说明服务已经成功启动；本地回退成功，也不能说明远端保存成功。本周整理验收路径时，这些区别让我意识到记录结果必须谨慎。面对错误时，应先确定实际请求是否发出、响应是否返回、页面数据是否改变，再沿着链路定位问题。没有观察到的过程就保持为待验证，不使用笼统的通过结论填补空白。这种习惯看起来会让记录更细，却能够减少重复排查，也有助于团队准确判断剩余工作。今后的测试学习中，我会把执行条件、实际结果和预期结果放在一起记录。</w:t>
            </w:r>
          </w:p>
          <w:p w14:paraId="600BED70">
            <w:pPr>
              <w:keepNext/>
              <w:spacing w:after="100" w:line="300" w:lineRule="auto"/>
              <w:jc w:val="left"/>
            </w:pPr>
            <w:r>
              <w:rPr>
                <w:rFonts w:ascii="Times New Roman" w:hAnsi="Times New Roman" w:eastAsia="宋体"/>
                <w:b/>
                <w:sz w:val="21"/>
              </w:rPr>
              <w:t>九 对版本整理和文档维护的体会</w:t>
            </w:r>
          </w:p>
          <w:p w14:paraId="7FC719CE">
            <w:pPr>
              <w:spacing w:after="100" w:line="300" w:lineRule="auto"/>
              <w:ind w:firstLine="420"/>
              <w:jc w:val="both"/>
            </w:pPr>
            <w:r>
              <w:rPr>
                <w:rFonts w:ascii="Times New Roman" w:hAnsi="Times New Roman" w:eastAsia="宋体"/>
                <w:sz w:val="21"/>
              </w:rPr>
              <w:t>原型基础上的迭代不仅涉及新增代码，也涉及入口和说明的一致性。旧版页面与新版同时存在时，展示人员可能打开不同文件，从而对同一个版本得出不同评价。本周切换默认入口并清理旧文件，让我理解到交付物本身也需要管理。与此同时，删除旧页面不等于删除历史背景，说明文档仍可以解释版本从哪里演进而来。文档的价值在于帮助下一位使用者启动项目、找到功能并理解限制，因此不能只列技术名称，也要写明入口差异、服务依赖和未完成部分。我以后会把更新说明视为迭代任务的一部分，在功能发生变化时同步检查文档，而不是等到最后才凭记忆补写。</w:t>
            </w:r>
          </w:p>
          <w:p w14:paraId="19F82BC8">
            <w:pPr>
              <w:keepNext/>
              <w:spacing w:after="100" w:line="300" w:lineRule="auto"/>
              <w:jc w:val="left"/>
            </w:pPr>
            <w:r>
              <w:rPr>
                <w:rFonts w:ascii="Times New Roman" w:hAnsi="Times New Roman" w:eastAsia="宋体"/>
                <w:b/>
                <w:sz w:val="21"/>
              </w:rPr>
              <w:t>十 对协作表达和个人责任的体会</w:t>
            </w:r>
          </w:p>
          <w:p w14:paraId="4F54DB65">
            <w:pPr>
              <w:spacing w:after="100" w:line="300" w:lineRule="auto"/>
              <w:ind w:firstLine="420"/>
              <w:jc w:val="both"/>
            </w:pPr>
            <w:r>
              <w:rPr>
                <w:rFonts w:ascii="Times New Roman" w:hAnsi="Times New Roman" w:eastAsia="宋体"/>
                <w:sz w:val="21"/>
              </w:rPr>
              <w:t>虽然周志围绕项目展开，但个人总结应当体现自己理解了什么、还需要补充什么，而不能把项目中的每个模块都表述成个人独立完成。阅读不同层的代码后，我更能认识到协作依赖清晰的信息表达。描述问题时，给出页面入口、操作步骤和实际现象，比只说“功能有问题”更有效；交接工作时，说明已实现接口与尚缺页面，也比笼统说“课程管理完成”更准确。本周让我意识到，诚实表达完成度是对团队负责。今后无论承担开发、文档还是测试工作，我都会尽量留下能复查的记录，并在不确定时先核对，而不是为让总结看起来完整而省略限制。</w:t>
            </w:r>
          </w:p>
          <w:p w14:paraId="1E4DD734">
            <w:pPr>
              <w:keepNext/>
              <w:spacing w:after="100" w:line="300" w:lineRule="auto"/>
              <w:jc w:val="left"/>
            </w:pPr>
            <w:r>
              <w:rPr>
                <w:rFonts w:ascii="Times New Roman" w:hAnsi="Times New Roman" w:eastAsia="宋体"/>
                <w:b/>
                <w:sz w:val="21"/>
              </w:rPr>
              <w:t>十一 对教学场景和用户需要的认识</w:t>
            </w:r>
          </w:p>
          <w:p w14:paraId="647E3152">
            <w:pPr>
              <w:spacing w:after="100" w:line="300" w:lineRule="auto"/>
              <w:ind w:firstLine="420"/>
              <w:jc w:val="both"/>
            </w:pPr>
            <w:r>
              <w:rPr>
                <w:rFonts w:ascii="Times New Roman" w:hAnsi="Times New Roman" w:eastAsia="宋体"/>
                <w:sz w:val="21"/>
              </w:rPr>
              <w:t>平台最终服务的是教学活动，因此技术实现需要回到教师和学生的实际使用过程。教师关心的不只是课程是否生成，还包括内容是否贴合主题、年级是否合适、能否修改以及课堂中出错后如何继续。学生则需要清楚的讲解和可靠的反馈，不能因为界面提示完整就默认知识内容正确。本周示例课堂让我看到展示流程的价值，也提醒我后续要检查课程标题与实际讲解是否对应，避免只换标题而保留固定内容。对于知识库、问答和测验，应逐步建立内容质量检查，而不是只核对按钮能否点击。我希望在后续迭代中保持这样的用户视角，让技术改进能够解释为具体的教学便利。</w:t>
            </w:r>
          </w:p>
          <w:p w14:paraId="6BB0ADA3">
            <w:pPr>
              <w:keepNext/>
              <w:spacing w:after="100" w:line="300" w:lineRule="auto"/>
              <w:jc w:val="left"/>
            </w:pPr>
            <w:r>
              <w:rPr>
                <w:rFonts w:ascii="Times New Roman" w:hAnsi="Times New Roman" w:eastAsia="宋体"/>
                <w:b/>
                <w:sz w:val="21"/>
              </w:rPr>
              <w:t>十二 后续学习与改进计划</w:t>
            </w:r>
          </w:p>
          <w:p w14:paraId="57A2A45E">
            <w:pPr>
              <w:spacing w:after="100" w:line="300" w:lineRule="auto"/>
              <w:ind w:firstLine="420"/>
              <w:jc w:val="both"/>
            </w:pPr>
            <w:r>
              <w:rPr>
                <w:rFonts w:ascii="Times New Roman" w:hAnsi="Times New Roman" w:eastAsia="宋体"/>
                <w:sz w:val="21"/>
              </w:rPr>
              <w:t>我也认识到，周志本身可以成为改进学习方法的工具。把工作写清楚时，原先模糊的概念会显露出来，例如接口提供与页面支持之间的区别、模拟数据与真实生成之间的区别。遇到无法准确解释的地方，应回到代码与运行记录查证，而不是用专业术语替代说明。以后我会在工作过程中及时记录疑问、检查条件和解决思路，周末再按需求、实现与验证整理。这样既能减少遗漏，也能看出自己在哪些方面进步、哪些知识仍停留在表面，从而更有针对性地安排下一周学习。</w:t>
            </w:r>
          </w:p>
          <w:p w14:paraId="1C689470">
            <w:pPr>
              <w:keepNext/>
              <w:spacing w:after="100" w:line="300" w:lineRule="auto"/>
              <w:jc w:val="left"/>
            </w:pPr>
            <w:r>
              <w:rPr>
                <w:rFonts w:ascii="Times New Roman" w:hAnsi="Times New Roman" w:eastAsia="宋体"/>
                <w:b/>
                <w:sz w:val="21"/>
              </w:rPr>
              <w:t>下一阶段，我准备继续围绕基础数据和验证方法补足能力。首先深入理解课程与场景的关联，使场景内容不再只依赖固定演示；其次学习接口参数校验、错误处理和数据删除边界，减少不同模块之间的模糊约定；再次补充针对课程主流程的检查记录，分别覆盖有后端和无后端的条件。真实模型接入应放在这些基础之上，同时考虑教师审核和生成失败后的恢复方式。经过本周学习，我对软件工程的认识已经从技术组合转向需求、实现、验证和交付之间的联系。Demo 0.2 提供了继续学习的具体载体，我会以代码和可复查结果为依据推进后续工作，使每次迭代都有清楚的目标和诚实的完成说明。</w:t>
            </w:r>
          </w:p>
        </w:tc>
      </w:tr>
    </w:tbl>
    <w:p w14:paraId="27CEE476">
      <w:pPr>
        <w:spacing w:before="120" w:after="120" w:line="288" w:lineRule="auto"/>
        <w:ind w:left="0"/>
        <w:jc w:val="left"/>
      </w:pPr>
    </w:p>
    <w:sectPr>
      <w:headerReference r:id="rId3" w:type="default"/>
      <w:footerReference r:id="rId4" w:type="default"/>
      <w:pgSz w:w="11905" w:h="16840"/>
      <w:pgMar w:top="1157" w:right="1179" w:bottom="1157" w:left="1633" w:header="720" w:footer="720" w:gutter="0"/>
      <w:pgBorders>
        <w:top w:val="none" w:sz="0" w:space="0"/>
        <w:left w:val="none" w:sz="0" w:space="0"/>
        <w:bottom w:val="none" w:sz="0" w:space="0"/>
        <w:right w:val="none" w:sz="0" w:space="0"/>
      </w:pgBorders>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7BF3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88AD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A1419"/>
    <w:rsid w:val="0DCB055C"/>
    <w:rsid w:val="649379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6968</Words>
  <Characters>7069</Characters>
  <TotalTime>11</TotalTime>
  <ScaleCrop>false</ScaleCrop>
  <LinksUpToDate>false</LinksUpToDate>
  <CharactersWithSpaces>7147</CharactersWithSpaces>
  <Application>WPS Office_12.1.0.28488_F1E327BC-269C-435d-A152-05C5408002CA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2026-08-30T13:54:00Z</dcterms:created>
  <dc:creator>Apache POI</dc:creator>
  <cp:lastModifiedBy>小强加里桑德森中士</cp:lastModifiedBy>
  <dcterms:modified xsi:type="dcterms:W3CDTF">2026-09-11T02:39:49Z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{"Label":"1","ContentProducer":"001191110102MACQD9K64010000","ProduceID":"7679822701325995250","ReservedCode1":"","ContentPropagator":"","PropagateID":"","ReservedCode2":""}</vt:lpwstr>
  </property>
  <property fmtid="{D5CDD505-2E9C-101B-9397-08002B2CF9AE}" pid="3" name="KSOTemplateDocerSaveRecord">
    <vt:lpwstr>eyJoZGlkIjoiOGQwOWIzNDAzNzJjNDUxNTUwOGM1NGQ5YTFkODExOTIiLCJ1c2VySWQiOiI2NDE3NjEzODMifQ==</vt:lpwstr>
  </property>
  <property fmtid="{D5CDD505-2E9C-101B-9397-08002B2CF9AE}" pid="4" name="KSOProductBuildVer">
    <vt:lpwstr>2052-12.1.0.28488</vt:lpwstr>
  </property>
  <property fmtid="{D5CDD505-2E9C-101B-9397-08002B2CF9AE}" pid="5" name="ICV">
    <vt:lpwstr>34CCCC60CD654E6595017298E0A50595_13</vt:lpwstr>
  </property>
</Properties>
</file>