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229"/>
        <w:gridCol w:w="1980"/>
        <w:gridCol w:w="3075"/>
      </w:tblGrid>
      <w:tr w14:paraId="1F3C887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67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4114B081">
            <w:pPr>
              <w:pStyle w:val="30"/>
              <w:rPr>
                <w:rFonts w:hint="eastAsia" w:ascii="Times New Roman" w:hAnsi="Times New Roman"/>
                <w:sz w:val="24"/>
                <w:szCs w:val="24"/>
              </w:rPr>
            </w:pPr>
            <w:bookmarkStart w:id="0" w:name="_Toc237855971"/>
            <w:bookmarkStart w:id="1" w:name="_Toc256412551"/>
            <w:bookmarkStart w:id="110" w:name="_GoBack"/>
            <w:bookmarkEnd w:id="110"/>
            <w:r>
              <w:rPr>
                <w:rFonts w:hint="eastAsia" w:ascii="宋体"/>
                <w:sz w:val="24"/>
                <w:szCs w:val="24"/>
              </w:rPr>
              <w:t>项目名称</w:t>
            </w:r>
          </w:p>
        </w:tc>
        <w:tc>
          <w:tcPr>
            <w:tcW w:w="3075" w:type="dxa"/>
            <w:noWrap w:val="0"/>
            <w:vAlign w:val="top"/>
          </w:tcPr>
          <w:p w14:paraId="5FD1B2D9">
            <w:pPr>
              <w:pStyle w:val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3DA66AC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5209" w:type="dxa"/>
            <w:gridSpan w:val="2"/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智能互动教学平台</w:t>
            </w:r>
          </w:p>
        </w:tc>
        <w:tc>
          <w:tcPr>
            <w:tcW w:w="3075" w:type="dxa"/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仅供项目组和评审方查阅</w:t>
            </w:r>
          </w:p>
        </w:tc>
      </w:tr>
      <w:tr w14:paraId="25EB43A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631" w:hRule="atLeast"/>
          <w:jc w:val="center"/>
        </w:trPr>
        <w:tc>
          <w:tcPr>
            <w:tcW w:w="3229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top"/>
          </w:tcPr>
          <w:p w14:paraId="60619140">
            <w:pPr>
              <w:pStyle w:val="3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1980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top"/>
          </w:tcPr>
          <w:p w14:paraId="3274CCD3">
            <w:pPr>
              <w:pStyle w:val="30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bottom w:val="single" w:color="auto" w:sz="4" w:space="0"/>
            </w:tcBorders>
            <w:noWrap w:val="0"/>
            <w:vAlign w:val="center"/>
          </w:tcPr>
          <w:p w14:paraId="3EB5C7E9">
            <w:pPr>
              <w:pStyle w:val="3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3991A71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322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w="1980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3075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14_SD_001</w:t>
            </w:r>
          </w:p>
        </w:tc>
      </w:tr>
    </w:tbl>
    <w:p w14:paraId="0D3BCA29">
      <w:pPr>
        <w:pStyle w:val="28"/>
        <w:spacing w:line="240" w:lineRule="auto"/>
        <w:jc w:val="both"/>
        <w:rPr>
          <w:rFonts w:hint="eastAsia" w:ascii="华文细黑" w:eastAsia="华文细黑"/>
        </w:rPr>
      </w:pPr>
      <w:bookmarkStart w:id="2" w:name="文档名称"/>
    </w:p>
    <w:p w14:paraId="182CA7E1">
      <w:pPr>
        <w:pStyle w:val="28"/>
        <w:spacing w:line="240" w:lineRule="auto"/>
        <w:rPr>
          <w:rFonts w:hint="eastAsia" w:ascii="华文细黑" w:eastAsia="华文细黑"/>
        </w:rPr>
      </w:pPr>
      <w:r>
        <w:rPr>
          <w:rFonts w:ascii="Times New Roman" w:hAnsi="Times New Roman" w:eastAsia="宋体"/>
          <w:b w:val="0"/>
        </w:rPr>
        <w:t>智能互动教学平台系统概要设计说明书</w:t>
      </w:r>
    </w:p>
    <w:p w14:paraId="24A8817D">
      <w:pPr>
        <w:rPr>
          <w:rFonts w:hint="eastAsia"/>
        </w:rPr>
      </w:pPr>
    </w:p>
    <w:p w14:paraId="1DBE4008">
      <w:pPr>
        <w:rPr>
          <w:rFonts w:hint="eastAsia"/>
        </w:rPr>
      </w:pPr>
    </w:p>
    <w:p w14:paraId="006E7FD3">
      <w:pPr>
        <w:rPr>
          <w:rFonts w:hint="eastAsia"/>
        </w:rPr>
      </w:pPr>
    </w:p>
    <w:p w14:paraId="191382C3">
      <w:pPr>
        <w:rPr>
          <w:rFonts w:hint="eastAsia"/>
        </w:rPr>
      </w:pPr>
    </w:p>
    <w:p w14:paraId="08FB5A59">
      <w:pPr>
        <w:rPr>
          <w:rFonts w:hint="eastAsia"/>
        </w:rPr>
      </w:pPr>
    </w:p>
    <w:p w14:paraId="4995DBF3">
      <w:pPr>
        <w:rPr>
          <w:rFonts w:hint="eastAsia"/>
        </w:rPr>
      </w:pPr>
    </w:p>
    <w:p w14:paraId="5530CA9E">
      <w:pPr>
        <w:rPr>
          <w:rFonts w:hint="eastAsia"/>
          <w:sz w:val="24"/>
          <w:szCs w:val="24"/>
        </w:rPr>
      </w:pP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13E12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738" w:type="dxa"/>
            <w:noWrap w:val="0"/>
            <w:vAlign w:val="top"/>
          </w:tcPr>
          <w:p w14:paraId="4C25BD62">
            <w:pPr>
              <w:pStyle w:val="3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top"/>
          </w:tcPr>
          <w:p w14:paraId="7A6E28B1">
            <w:pPr>
              <w:pStyle w:val="27"/>
              <w:spacing w:before="120" w:beforeLines="0" w:line="240" w:lineRule="auto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13309B20">
            <w:pPr>
              <w:pStyle w:val="3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21FCCA4D">
            <w:pPr>
              <w:pStyle w:val="3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EB2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738" w:type="dxa"/>
            <w:noWrap w:val="0"/>
            <w:vAlign w:val="top"/>
          </w:tcPr>
          <w:p w14:paraId="232D64CA">
            <w:pPr>
              <w:pStyle w:val="3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top"/>
          </w:tcPr>
          <w:p w14:paraId="2168076A">
            <w:pPr>
              <w:pStyle w:val="27"/>
              <w:spacing w:before="120" w:beforeLines="0" w:line="240" w:lineRule="auto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277AB8CA">
            <w:pPr>
              <w:pStyle w:val="3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229AB1E9">
            <w:pPr>
              <w:pStyle w:val="30"/>
              <w:jc w:val="left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 w14:paraId="065D9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738" w:type="dxa"/>
            <w:noWrap w:val="0"/>
            <w:vAlign w:val="top"/>
          </w:tcPr>
          <w:p w14:paraId="6680BCE3">
            <w:pPr>
              <w:pStyle w:val="3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top"/>
          </w:tcPr>
          <w:p w14:paraId="17EA9B0B">
            <w:pPr>
              <w:pStyle w:val="27"/>
              <w:spacing w:before="120" w:beforeLines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73D81FAB">
            <w:pPr>
              <w:pStyle w:val="3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247A5B70">
            <w:pPr>
              <w:pStyle w:val="3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3A3152A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2CB5A1E4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62295755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4D8BEC79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Times New Roman" w:hAnsi="Times New Roman" w:eastAsia="宋体"/>
          <w:b/>
          <w:sz w:val="28"/>
          <w:szCs w:val="28"/>
        </w:rPr>
        <w:t xml:space="preserve">  </w:t>
      </w:r>
    </w:p>
    <w:p w14:paraId="28A3E954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Times New Roman" w:hAnsi="Times New Roman" w:eastAsia="宋体"/>
          <w:b/>
          <w:sz w:val="28"/>
          <w:szCs w:val="28"/>
          <w:lang w:eastAsia="zh-CN"/>
        </w:rPr>
        <w:t>武汉</w:t>
      </w:r>
      <w:r>
        <w:rPr>
          <w:rFonts w:hint="eastAsia" w:ascii="Times New Roman" w:hAnsi="Times New Roman" w:eastAsia="宋体"/>
          <w:b/>
          <w:sz w:val="28"/>
          <w:szCs w:val="28"/>
          <w:lang w:val="en-US" w:eastAsia="zh-CN"/>
        </w:rPr>
        <w:t>学链</w:t>
      </w:r>
      <w:r>
        <w:rPr>
          <w:rFonts w:hint="eastAsia" w:ascii="Times New Roman" w:hAnsi="Times New Roman" w:eastAsia="宋体"/>
          <w:b/>
          <w:sz w:val="28"/>
          <w:szCs w:val="28"/>
        </w:rPr>
        <w:t>科技有限公司</w:t>
      </w:r>
    </w:p>
    <w:p w14:paraId="7909C5E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Times New Roman" w:hAnsi="Times New Roman" w:eastAsia="宋体"/>
          <w:kern w:val="0"/>
          <w:sz w:val="24"/>
          <w:szCs w:val="24"/>
        </w:rPr>
        <w:t>版权所有  不得复制</w:t>
      </w:r>
    </w:p>
    <w:p w14:paraId="58FCA713">
      <w:p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33540FCA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rFonts w:ascii="Times New Roman" w:hAnsi="Times New Roman" w:eastAsia="宋体"/>
          <w:sz w:val="36"/>
          <w:szCs w:val="36"/>
        </w:rPr>
        <w:t>Revision Record</w:t>
      </w:r>
    </w:p>
    <w:p w14:paraId="7F27FBA7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rFonts w:hint="eastAsia" w:ascii="Times New Roman" w:hAnsi="Times New Roman" w:eastAsia="宋体"/>
          <w:sz w:val="36"/>
          <w:szCs w:val="36"/>
        </w:rPr>
        <w:t>修订记录</w:t>
      </w:r>
    </w:p>
    <w:p w14:paraId="085545E1">
      <w:pPr>
        <w:jc w:val="center"/>
        <w:rPr>
          <w:rFonts w:hint="eastAsia"/>
          <w:sz w:val="21"/>
          <w:szCs w:val="21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5AB6C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ABF543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3828AF36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FCD4745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033810BD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2D8293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159F79DB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1F2B09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7D084A49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97EC43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60A77F19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393786F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78E456EB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</w:tr>
      <w:tr w14:paraId="3542C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2026-09-18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SD-001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全篇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根据 Demo 0.4 需求和代码生成系统设计基线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  <w:tr w14:paraId="324F5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9BCA10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EEC4A50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DD9CE3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F9DC5A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FDB11C7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22D63C">
            <w:pPr>
              <w:widowControl/>
              <w:rPr>
                <w:rFonts w:hint="eastAsia"/>
                <w:sz w:val="24"/>
                <w:szCs w:val="24"/>
              </w:rPr>
            </w:pPr>
          </w:p>
        </w:tc>
      </w:tr>
      <w:tr w14:paraId="17D36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7C113FA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EF1425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BC2A83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D17F8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F8602A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1C27EF6">
            <w:pPr>
              <w:widowControl/>
              <w:rPr>
                <w:sz w:val="24"/>
                <w:szCs w:val="24"/>
              </w:rPr>
            </w:pPr>
          </w:p>
        </w:tc>
      </w:tr>
      <w:tr w14:paraId="6ED9E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99CFB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EBB8C42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B0D876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66F2910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CDDBD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0DE961C">
            <w:pPr>
              <w:widowControl/>
              <w:rPr>
                <w:sz w:val="24"/>
                <w:szCs w:val="24"/>
              </w:rPr>
            </w:pPr>
          </w:p>
        </w:tc>
      </w:tr>
      <w:tr w14:paraId="048B5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AE5DD62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A2618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7D22220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D98B4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E05D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3892C2">
            <w:pPr>
              <w:widowControl/>
              <w:rPr>
                <w:sz w:val="24"/>
                <w:szCs w:val="24"/>
              </w:rPr>
            </w:pPr>
          </w:p>
        </w:tc>
      </w:tr>
      <w:tr w14:paraId="1CCE7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5146BF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DE0367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651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3535D7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01929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F9311EC">
            <w:pPr>
              <w:widowControl/>
              <w:rPr>
                <w:sz w:val="24"/>
                <w:szCs w:val="24"/>
              </w:rPr>
            </w:pPr>
          </w:p>
        </w:tc>
      </w:tr>
      <w:tr w14:paraId="6372F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6DFCCA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6AB843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91DDC5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E03AD9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9B3A80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43A716A">
            <w:pPr>
              <w:widowControl/>
              <w:rPr>
                <w:sz w:val="24"/>
                <w:szCs w:val="24"/>
              </w:rPr>
            </w:pPr>
          </w:p>
        </w:tc>
      </w:tr>
      <w:tr w14:paraId="6E0E1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2D8B10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28FE80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7FE284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818BE7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FDE203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F4A0A51">
            <w:pPr>
              <w:widowControl/>
              <w:rPr>
                <w:sz w:val="24"/>
                <w:szCs w:val="24"/>
              </w:rPr>
            </w:pPr>
          </w:p>
        </w:tc>
      </w:tr>
      <w:tr w14:paraId="73D6D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08D0312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3F8AF03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2FB08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A98FE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A78AAA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4E1545E">
            <w:pPr>
              <w:widowControl/>
              <w:rPr>
                <w:sz w:val="24"/>
                <w:szCs w:val="24"/>
              </w:rPr>
            </w:pPr>
          </w:p>
        </w:tc>
      </w:tr>
      <w:tr w14:paraId="395EC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2422D0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D00EC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4BB273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5657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926DCB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3F0758A">
            <w:pPr>
              <w:widowControl/>
              <w:rPr>
                <w:sz w:val="24"/>
                <w:szCs w:val="24"/>
              </w:rPr>
            </w:pPr>
          </w:p>
        </w:tc>
      </w:tr>
    </w:tbl>
    <w:p w14:paraId="032F387E">
      <w:pPr>
        <w:rPr>
          <w:b/>
          <w:sz w:val="21"/>
          <w:szCs w:val="21"/>
        </w:rPr>
        <w:sectPr>
          <w:pgSz w:w="11906" w:h="16838"/>
          <w:pgMar w:top="1440" w:right="1287" w:bottom="1440" w:left="1622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2C433AC2">
      <w:pPr>
        <w:jc w:val="center"/>
        <w:rPr>
          <w:rFonts w:hint="eastAsia"/>
          <w:b/>
          <w:sz w:val="32"/>
          <w:szCs w:val="32"/>
        </w:rPr>
      </w:pPr>
      <w:r>
        <w:rPr>
          <w:rFonts w:ascii="Times New Roman" w:hAnsi="Times New Roman" w:eastAsia="宋体"/>
          <w:b w:val="0"/>
          <w:sz w:val="21"/>
        </w:rPr>
        <w:t>目    录</w:t>
      </w:r>
    </w:p>
    <w:p w14:paraId="30B53A17">
      <w:pPr>
        <w:pStyle w:val="13"/>
        <w:tabs>
          <w:tab w:val="right" w:leader="dot" w:pos="8306"/>
        </w:tabs>
        <w:rPr>
          <w:lang w:val="en-US" w:eastAsia="zh-CN" w:bidi="ar-SA"/>
        </w:rPr>
      </w:pPr>
      <w:r>
        <w:rPr>
          <w:rFonts w:ascii="Times New Roman" w:hAnsi="Times New Roman" w:eastAsia="宋体"/>
          <w:b w:val="0"/>
        </w:rPr>
      </w:r>
      <w:r>
        <w:rPr>
          <w:rFonts w:ascii="Times New Roman" w:hAnsi="Times New Roman" w:eastAsia="宋体"/>
        </w:rPr>
        <w:fldChar w:fldCharType="begin"/>
        <w:instrText xml:space="preserve">TOC \o "1-4" \h \z \u</w:instrText>
        <w:fldChar w:fldCharType="separate"/>
        <w:t>右键更新域以刷新目录</w:t>
        <w:fldChar w:fldCharType="end"/>
      </w:r>
    </w:p>
    <w:p w14:paraId="0B0339B9">
      <w:pPr>
        <w:rPr>
          <w:rFonts w:hint="eastAsia"/>
          <w:b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  <w:lang w:val="en-US" w:eastAsia="zh-CN" w:bidi="ar-SA"/>
        </w:rPr>
        <w:fldChar w:fldCharType="end"/>
      </w:r>
    </w:p>
    <w:p w14:paraId="0E1A71D2">
      <w:pPr>
        <w:rPr>
          <w:rFonts w:hint="eastAsia"/>
          <w:b/>
          <w:sz w:val="21"/>
          <w:szCs w:val="21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090FFDDD">
      <w:pPr>
        <w:rPr>
          <w:rFonts w:hint="eastAsia"/>
          <w:b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</w:rPr>
        <w:t>Keywords 关键词：</w:t>
      </w:r>
    </w:p>
    <w:p w14:paraId="41EE9803">
      <w:pPr>
        <w:pStyle w:val="17"/>
        <w:spacing w:line="240" w:lineRule="auto"/>
        <w:rPr>
          <w:rFonts w:hint="eastAsia"/>
        </w:rPr>
      </w:pPr>
      <w:r>
        <w:rPr>
          <w:rFonts w:ascii="Times New Roman" w:hAnsi="Times New Roman" w:eastAsia="宋体"/>
          <w:b w:val="0"/>
        </w:rPr>
        <w:t>智能互动教学；知识图谱；多模态内容；多智能体；学习分析；Spring Boot；FastAPI</w:t>
      </w:r>
    </w:p>
    <w:p w14:paraId="6E6FAC74">
      <w:pPr>
        <w:rPr>
          <w:rFonts w:hint="eastAsia"/>
          <w:b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</w:rPr>
        <w:t>Abstract  摘    要：</w:t>
      </w:r>
    </w:p>
    <w:p w14:paraId="4293B606">
      <w:pPr>
        <w:pStyle w:val="17"/>
        <w:spacing w:line="240" w:lineRule="auto"/>
        <w:rPr>
          <w:rStyle w:val="25"/>
          <w:rFonts w:hint="eastAsia"/>
          <w:i w:val="0"/>
        </w:rPr>
      </w:pPr>
      <w:r>
        <w:rPr>
          <w:rFonts w:ascii="Times New Roman" w:hAnsi="Times New Roman" w:eastAsia="宋体"/>
          <w:b w:val="0"/>
        </w:rPr>
        <w:t>本文档以智能互动教学平台 Demo 0.4 的需求、源代码和验收资料为依据，给出系统上下文、分层架构、模块职责、接口契约、数据结构、界面和异常处理设计。系统采用 Vue 3、Spring Boot 3 和 FastAPI 的分层结构，通过知识图谱约束课堂生成、多模态内容和个性化学习路径，并在外部服务不可用时提供稳定的浏览器端降级能力。</w:t>
      </w:r>
    </w:p>
    <w:p w14:paraId="3F9249D7">
      <w:pPr>
        <w:rPr>
          <w:rFonts w:hint="eastAsia"/>
          <w:b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</w:rPr>
        <w:t>List of abbreviations 缩略语清单：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2345"/>
        <w:gridCol w:w="2795"/>
        <w:gridCol w:w="3256"/>
      </w:tblGrid>
      <w:tr w14:paraId="33D1FCD6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31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11137F2B">
            <w:r>
              <w:t>Abbreviations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727820E1">
            <w:pPr>
              <w:rPr>
                <w:rFonts w:hint="eastAsia"/>
              </w:rPr>
            </w:pPr>
            <w:r>
              <w:t xml:space="preserve">Full spelling </w:t>
            </w:r>
            <w:r>
              <w:rPr>
                <w:rFonts w:hint="eastAsia"/>
              </w:rPr>
              <w:t>英文全名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5EE82F93">
            <w:r>
              <w:t xml:space="preserve">Chinese explanation </w:t>
            </w:r>
            <w:r>
              <w:rPr>
                <w:rFonts w:hint="eastAsia"/>
              </w:rPr>
              <w:t>中文解释</w:t>
            </w:r>
          </w:p>
        </w:tc>
      </w:tr>
      <w:tr w14:paraId="1B97ECAC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Artificial Intelligence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人工智能</w:t>
            </w:r>
          </w:p>
        </w:tc>
      </w:tr>
      <w:tr w14:paraId="13B31EAE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Application Programming Interface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应用程序接口</w:t>
            </w:r>
          </w:p>
        </w:tc>
      </w:tr>
      <w:tr w14:paraId="73C8455A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Automatic Speech Recognition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自动语音识别</w:t>
            </w:r>
          </w:p>
        </w:tc>
      </w:tr>
      <w:tr w14:paraId="1E18502E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DTO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 Transfer Object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数据传输对象</w:t>
            </w:r>
          </w:p>
        </w:tc>
      </w:tr>
      <w:tr w14:paraId="2A4BBE43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HLD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High Level Design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概要设计</w:t>
            </w:r>
          </w:p>
        </w:tc>
      </w:tr>
      <w:tr w14:paraId="75685B74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JPA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 Persistence API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 持久化规范</w:t>
            </w:r>
          </w:p>
        </w:tc>
      </w:tr>
      <w:tr w14:paraId="5274AA58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Large Language Model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大语言模型</w:t>
            </w:r>
          </w:p>
        </w:tc>
      </w:tr>
      <w:tr w14:paraId="455CEFFF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Retrieval Augmented Generation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检索增强生成</w:t>
            </w:r>
          </w:p>
        </w:tc>
      </w:tr>
      <w:tr w14:paraId="24315134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REST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Representational State Transfer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表现层状态转移</w:t>
            </w:r>
          </w:p>
        </w:tc>
      </w:tr>
      <w:tr w14:paraId="123C35E6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TTS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Text To Speech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文本转语音</w:t>
            </w:r>
          </w:p>
        </w:tc>
      </w:tr>
      <w:tr w14:paraId="6F13CC75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UML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Unified Modeling Language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统一建模语言</w:t>
            </w:r>
          </w:p>
        </w:tc>
      </w:tr>
      <w:tr w14:paraId="1DC6A572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JSON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JavaScript Object Notation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JavaScript 对象表示法</w:t>
            </w:r>
          </w:p>
        </w:tc>
      </w:tr>
    </w:tbl>
    <w:p w14:paraId="5458777E">
      <w:pPr>
        <w:rPr>
          <w:sz w:val="21"/>
          <w:szCs w:val="21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>
      <w:pPr>
        <w:pStyle w:val="2"/>
      </w:pPr>
      <w:r>
        <w:rPr>
          <w:rFonts w:ascii="Times New Roman" w:hAnsi="Times New Roman" w:eastAsia="黑体"/>
          <w:b w:val="0"/>
        </w:rPr>
        <w:t>1 简介</w:t>
      </w:r>
    </w:p>
    <w:p>
      <w:pPr>
        <w:pStyle w:val="3"/>
      </w:pPr>
      <w:r>
        <w:rPr>
          <w:rFonts w:ascii="Times New Roman" w:hAnsi="Times New Roman" w:eastAsia="黑体"/>
          <w:b w:val="0"/>
        </w:rPr>
        <w:t>1.1 目的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本文档描述智能互动教学平台 Demo 0.4 的系统架构、模块分解、接口、数据结构、界面和异常处理设计，为前端、业务后端、AI 服务的编码、联调、测试、验收和后续迭代提供统一依据。主要读者为项目组开发人员、测试人员、项目负责人、评审人员和指导教师。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1.2 范围</w:t>
      </w:r>
    </w:p>
    <w:p>
      <w:pPr>
        <w:pStyle w:val="4"/>
      </w:pPr>
      <w:r>
        <w:rPr>
          <w:rFonts w:ascii="Times New Roman" w:hAnsi="Times New Roman" w:eastAsia="黑体"/>
          <w:b w:val="0"/>
        </w:rPr>
        <w:t>1.2.1 软件名称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中文名称：智能互动教学平台；产品名称：智学；当前设计基线：Demo 0.4.0。文档编号为 14_SD_001，版本 V1.0。</w:t>
      </w:r>
    </w:p>
    <w:p>
      <w:pPr>
        <w:pStyle w:val="4"/>
      </w:pPr>
      <w:r>
        <w:rPr>
          <w:rFonts w:ascii="Times New Roman" w:hAnsi="Times New Roman" w:eastAsia="黑体"/>
          <w:b w:val="0"/>
        </w:rPr>
        <w:t>1.2.2 软件功能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系统面向教师和学生，形成“资料导入—知识建模—课堂生成—互动教学—测验反馈—学情分析—内容导出”的业务闭环。Demo 0.4 的主要能力如下表所示。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701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5839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设计能力</w:t>
            </w:r>
          </w:p>
        </w:tc>
        <w:tc>
          <w:tcPr>
            <w:tcW w:type="dxa" w:w="1247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课程管理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课程新增、查询、修改、删除、发布状态与九学科示例课程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70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智能生成</w:t>
            </w:r>
          </w:p>
        </w:tc>
        <w:tc>
          <w:tcPr>
            <w:tcW w:type="dxa" w:w="5839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按主题、学科、年级、时长和内容模式生成五场景课堂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知识库与知识图谱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资料解析、知识抽取、四类关系、节点编辑、掌握度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已实现/适配层</w:t>
            </w:r>
          </w:p>
        </w:tc>
      </w:tr>
      <w:tr>
        <w:tc>
          <w:tcPr>
            <w:tcW w:type="dxa" w:w="170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多模态内容</w:t>
            </w:r>
          </w:p>
        </w:tc>
        <w:tc>
          <w:tcPr>
            <w:tcW w:type="dxa" w:w="5839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沉浸文本、测验、PPT 与旁白、双 AI 音频、思维导图、互动教材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互动与协同课堂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导师、AI 同学、记录员、项目教练、语音提问与自动白板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70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学习分析</w:t>
            </w:r>
          </w:p>
        </w:tc>
        <w:tc>
          <w:tcPr>
            <w:tcW w:type="dxa" w:w="5839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学习行为、时长、得分、薄弱知识点、兴趣推荐和报告视图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内容导出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HTML、JSON、可编辑 PPTX 和 ZIP 完整课堂包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70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认证与精细权限</w:t>
            </w:r>
          </w:p>
        </w:tc>
        <w:tc>
          <w:tcPr>
            <w:tcW w:type="dxa" w:w="5839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JWT、角色授权、审核日志等生产能力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规划增强</w:t>
            </w:r>
          </w:p>
        </w:tc>
      </w:tr>
    </w:tbl>
    <w:p>
      <w:pPr>
        <w:pStyle w:val="4"/>
      </w:pPr>
      <w:r>
        <w:rPr>
          <w:rFonts w:ascii="Times New Roman" w:hAnsi="Times New Roman" w:eastAsia="黑体"/>
          <w:b w:val="0"/>
        </w:rPr>
        <w:t>1.2.3 软件应用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平台适用于中学语文、数学、英语、历史、地理、生物、化学、物理和道德与法治等学科的备课、课堂互动和学习分析。系统可在联网的前后端模式运行，也可通过单文件 HTML 和浏览器本地存储完成离线演示，适用于课程展示、实训验收、教学设计验证和后续产品化开发。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1.3 参考资料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《智能互动教学平台需求调研报告》V1.0，2026-09-07。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《智能互动教学平台软件需求规格说明书》V1.1。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《Demo 0.4 功能矩阵》《Demo 0.4 验收记录》《开发约定》。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项目源代码：platform/frontend、platform/backend、platform/ai-service。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Spring Boot 3、Vue 3、FastAPI、PlantUML 和 Office Open XML 相关规范。</w:t>
      </w:r>
    </w:p>
    <w:p w14:paraId="610BE854">
      <w:pPr>
        <w:rPr>
          <w:color w:val="0000FF"/>
          <w:sz w:val="21"/>
          <w:szCs w:val="21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ascii="Times New Roman" w:hAnsi="Times New Roman" w:eastAsia="宋体"/>
          <w:b w:val="0"/>
          <w:sz w:val="21"/>
        </w:rPr>
      </w:r>
    </w:p>
    <w:bookmarkEnd w:id="37"/>
    <w:bookmarkEnd w:id="38"/>
    <w:bookmarkEnd w:id="39"/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180A3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457CC4F1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29209397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6344655C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5467009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124C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6" w:hRule="atLeast"/>
          <w:jc w:val="center"/>
        </w:trPr>
        <w:tc>
          <w:tcPr>
            <w:tcW w:w="1548" w:type="dxa"/>
            <w:noWrap w:val="0"/>
            <w:vAlign w:val="top"/>
          </w:tcPr>
          <w:p w14:paraId="16659FEF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  <w:noWrap w:val="0"/>
            <w:vAlign w:val="top"/>
          </w:tcPr>
          <w:p w14:paraId="7236D2C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  <w:noWrap w:val="0"/>
            <w:vAlign w:val="top"/>
          </w:tcPr>
          <w:p w14:paraId="5EB4EA3E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  <w:noWrap w:val="0"/>
            <w:vAlign w:val="top"/>
          </w:tcPr>
          <w:p w14:paraId="5C6B98DA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19FE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088882F0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18B8D8D5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7289D719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48C6076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1CAF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6" w:hRule="atLeast"/>
          <w:jc w:val="center"/>
        </w:trPr>
        <w:tc>
          <w:tcPr>
            <w:tcW w:w="1548" w:type="dxa"/>
            <w:noWrap w:val="0"/>
            <w:vAlign w:val="top"/>
          </w:tcPr>
          <w:p w14:paraId="0F026AD5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  <w:noWrap w:val="0"/>
            <w:vAlign w:val="top"/>
          </w:tcPr>
          <w:p w14:paraId="2E7D2485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  <w:noWrap w:val="0"/>
            <w:vAlign w:val="top"/>
          </w:tcPr>
          <w:p w14:paraId="36823311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  <w:noWrap w:val="0"/>
            <w:vAlign w:val="top"/>
          </w:tcPr>
          <w:p w14:paraId="00029706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42DA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3E83A81B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37D06B01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016E0B99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20369D2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434A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6" w:hRule="atLeast"/>
          <w:jc w:val="center"/>
        </w:trPr>
        <w:tc>
          <w:tcPr>
            <w:tcW w:w="1548" w:type="dxa"/>
            <w:noWrap w:val="0"/>
            <w:vAlign w:val="top"/>
          </w:tcPr>
          <w:p w14:paraId="7E250798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  <w:noWrap w:val="0"/>
            <w:vAlign w:val="top"/>
          </w:tcPr>
          <w:p w14:paraId="46404430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  <w:noWrap w:val="0"/>
            <w:vAlign w:val="top"/>
          </w:tcPr>
          <w:p w14:paraId="78B1106E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  <w:noWrap w:val="0"/>
            <w:vAlign w:val="top"/>
          </w:tcPr>
          <w:p w14:paraId="0C223824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>
      <w:pPr>
        <w:pStyle w:val="2"/>
      </w:pPr>
      <w:r>
        <w:rPr>
          <w:rFonts w:ascii="Times New Roman" w:hAnsi="Times New Roman" w:eastAsia="黑体"/>
          <w:b w:val="0"/>
        </w:rPr>
        <w:t>2 概要设计</w:t>
      </w:r>
    </w:p>
    <w:p>
      <w:pPr>
        <w:pStyle w:val="3"/>
      </w:pPr>
      <w:r>
        <w:rPr>
          <w:rFonts w:ascii="Times New Roman" w:hAnsi="Times New Roman" w:eastAsia="黑体"/>
          <w:b w:val="0"/>
        </w:rPr>
        <w:t>2.1 第0层设计描述</w:t>
      </w:r>
    </w:p>
    <w:p>
      <w:pPr>
        <w:pStyle w:val="4"/>
      </w:pPr>
      <w:r>
        <w:rPr>
          <w:rFonts w:ascii="Times New Roman" w:hAnsi="Times New Roman" w:eastAsia="黑体"/>
          <w:b w:val="0"/>
        </w:rPr>
        <w:t>2.1.1 软件系统上下文定义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系统的主要用户是教师、学生和管理员。教师负责课程创建、资料管理、课堂生成、审核发布和学情查看；学生参与互动课堂、提问、测验和项目任务；管理员负责配置、权限和审计。系统外部依赖包括大模型 Provider、浏览器语音能力、关系数据库和文件存储。前端只能访问 Spring Boot 业务入口，模型密钥与核心状态不暴露给浏览器。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328000" cy="425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上下文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5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2-1 系统上下文图</w:t>
      </w:r>
    </w:p>
    <w:p>
      <w:pPr>
        <w:pStyle w:val="4"/>
      </w:pPr>
      <w:r>
        <w:rPr>
          <w:rFonts w:ascii="Times New Roman" w:hAnsi="Times New Roman" w:eastAsia="黑体"/>
          <w:b w:val="0"/>
        </w:rPr>
        <w:t>2.1.2 设计思路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• 分层与职责隔离：Vue 前端负责交互与降级体验；Spring Boot 负责业务状态、持久化和 AI 代理；FastAPI 仅处理生成、资料解析、知识图谱、多模态、语音和报告能力。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• 知识驱动：课程资料先形成知识点与关系，课堂场景、多模态内容、测验和个性化学习路径均受知识图谱约束。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• 稳定降级：后端或模型不可用时，前端使用学科规则、种子课程和 localStorage 维持完整演示链路；TTS/ASR 优先使用浏览器原生能力。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• 结构化输出：AI 生成数据通过 Pydantic/DTO 约束为固定结构，防止不完整内容进入业务状态。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• 可替换与可扩展：Provider、向量检索、语音和图像识别通过适配接口接入，后续可替换真实模型或增加实现。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工程目录按技术边界划分：platform/frontend 保存 Vue 3 应用与导出器；platform/backend 保存 Spring Boot 控制器、DTO、实体、仓储和配置；platform/ai-service 保存 FastAPI 路由、Schema、RAG 与模型适配目录；platform/docs 保存开发约定和验收资料；outputs 保存独立演示与交付产物。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2.2 第1层设计描述</w:t>
      </w:r>
    </w:p>
    <w:p>
      <w:pPr>
        <w:pStyle w:val="4"/>
      </w:pPr>
      <w:r>
        <w:rPr>
          <w:rFonts w:ascii="Times New Roman" w:hAnsi="Times New Roman" w:eastAsia="黑体"/>
          <w:b w:val="0"/>
        </w:rPr>
        <w:t>2.2.1 系统结构</w:t>
      </w:r>
    </w:p>
    <w:p>
      <w:pPr>
        <w:pStyle w:val="5"/>
      </w:pPr>
      <w:r>
        <w:rPr>
          <w:rFonts w:ascii="Times New Roman" w:hAnsi="Times New Roman" w:eastAsia="黑体"/>
          <w:b w:val="0"/>
        </w:rPr>
        <w:t>2.2.1.1 系统结构描述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系统采用浏览器端、业务服务、AI 服务和数据基础设施四层架构。正常模式下，Vue 通过 /api/v1 调用 Spring Boot，Spring Boot 再调用 FastAPI；离线模式下，浏览器使用内置课程模板、规则引擎和 localStorage，导出文件由前端直接生成。关系数据当前使用 H2 文件数据库兼容 MySQL，生产部署切换为 MySQL 8。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472000" cy="5712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组件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71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2-2 系统组件及部署关系</w:t>
      </w:r>
    </w:p>
    <w:p>
      <w:pPr>
        <w:pStyle w:val="5"/>
      </w:pPr>
      <w:r>
        <w:rPr>
          <w:rFonts w:ascii="Times New Roman" w:hAnsi="Times New Roman" w:eastAsia="黑体"/>
          <w:b w:val="0"/>
        </w:rPr>
        <w:t>2.2.1.2 业务流程说明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教师创建课堂时，前端收集主题、学科、年级、时长、Provider 和内容模式；业务后端代理课堂生成请求；AI 服务返回结构化教学目标、场景、测验和学习资料；前端补充知识图谱、多模态资产和学习路径，保存课程草稿并进入知识库页面。服务不可用时转入本地生成分支，页面功能和四类导出仍保持可用。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328000" cy="43338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堂生成时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33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2-3 课堂生成与降级时序图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课堂答疑以当前课程、场景、知识点和最近对话为上下文。返回回答后，前端同步生成层级化白板，记录员追加重点、难点和学习记录；请求失败时使用本地学科规则生成可解释回答。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328000" cy="4170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答疑时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17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2-4 AI 答疑与课堂记录时序图</w:t>
      </w:r>
    </w:p>
    <w:p>
      <w:pPr>
        <w:pStyle w:val="4"/>
      </w:pPr>
      <w:r>
        <w:rPr>
          <w:rFonts w:ascii="Times New Roman" w:hAnsi="Times New Roman" w:eastAsia="黑体"/>
          <w:b w:val="0"/>
        </w:rPr>
        <w:t>2.2.2 分解描述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系统按职责分为前端交互子系统、业务后端子系统和 AI 能力子系统，各子系统通过明确的 REST 接口和数据模型协作。</w:t>
      </w:r>
    </w:p>
    <w:p>
      <w:pPr>
        <w:pStyle w:val="5"/>
      </w:pPr>
      <w:r>
        <w:rPr>
          <w:rFonts w:ascii="Times New Roman" w:hAnsi="Times New Roman" w:eastAsia="黑体"/>
          <w:b w:val="0"/>
        </w:rPr>
        <w:t>2.2.2.1 前端交互与离线演示子系统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1、简介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实现教师工作台、课堂生成、知识图谱、多模态内容、互动课堂、多智能体、学习分析和学科资源八个视图，并承担浏览器降级、TTS/ASR 和四类导出。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2、核心职责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维护课程、课堂、图谱、智能体和学习记录的响应式状态。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优先调用后端，失败时转入离线数据层。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生成可编辑 PPTX 和完整离线课堂包。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保证桌面及移动宽度下的响应式交互。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3、文件列表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92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1304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891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存放位置</w:t>
            </w:r>
          </w:p>
        </w:tc>
        <w:tc>
          <w:tcPr>
            <w:tcW w:type="dxa" w:w="2835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main.ts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TypeScript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platform/frontend/src/main.ts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应用状态、页面路由、API 调用和交互业务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lesson-content.ts</w:t>
            </w:r>
          </w:p>
        </w:tc>
        <w:tc>
          <w:tcPr>
            <w:tcW w:type="dxa" w:w="130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TypeScript</w:t>
            </w:r>
          </w:p>
        </w:tc>
        <w:tc>
          <w:tcPr>
            <w:tcW w:type="dxa" w:w="289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platform/frontend/src/lesson-content.ts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九学科课堂生成规则与种子课程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demo04-content.ts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TypeScript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platform/frontend/src/demo04-content.ts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知识图谱、多模态、智能体和学习记录模型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demo04-export.ts</w:t>
            </w:r>
          </w:p>
        </w:tc>
        <w:tc>
          <w:tcPr>
            <w:tcW w:type="dxa" w:w="130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TypeScript</w:t>
            </w:r>
          </w:p>
        </w:tc>
        <w:tc>
          <w:tcPr>
            <w:tcW w:type="dxa" w:w="289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platform/frontend/src/demo04-export.ts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HTML、JSON、PPTX、ZIP 导出</w:t>
            </w:r>
          </w:p>
        </w:tc>
      </w:tr>
    </w:tbl>
    <w:p>
      <w:pPr>
        <w:pStyle w:val="5"/>
      </w:pPr>
      <w:r>
        <w:rPr>
          <w:rFonts w:ascii="Times New Roman" w:hAnsi="Times New Roman" w:eastAsia="黑体"/>
          <w:b w:val="0"/>
        </w:rPr>
        <w:t>2.2.2.2 Spring Boot 业务后端子系统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1、简介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作为前端唯一业务 API 入口，负责课程 CRUD、统一响应、输入校验、持久化和 AI 服务代理。当前 Demo 放行全部请求以便联调，JWT 与角色授权属于生产增强项。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2、核心职责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提供 /api/v1 统一业务入口和 ApiResponse 响应结构。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通过 JPA 管理课程数据与状态。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以 RestClient 代理 FastAPI，隔离浏览器与模型服务。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执行 DTO 校验、异常映射和后续权限控制。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3、文件列表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92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1304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891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存放位置</w:t>
            </w:r>
          </w:p>
        </w:tc>
        <w:tc>
          <w:tcPr>
            <w:tcW w:type="dxa" w:w="2835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CourseController.java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backend/.../controller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课程列表、详情、创建、修改和删除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AiLessonController.java</w:t>
            </w:r>
          </w:p>
        </w:tc>
        <w:tc>
          <w:tcPr>
            <w:tcW w:type="dxa" w:w="130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</w:t>
            </w:r>
          </w:p>
        </w:tc>
        <w:tc>
          <w:tcPr>
            <w:tcW w:type="dxa" w:w="289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backend/.../controller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课堂生成、问答、图谱、多模态、语音和报告代理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Course.java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JPA Entity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backend/.../entity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课程核心持久化实体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application.yml</w:t>
            </w:r>
          </w:p>
        </w:tc>
        <w:tc>
          <w:tcPr>
            <w:tcW w:type="dxa" w:w="130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YAML</w:t>
            </w:r>
          </w:p>
        </w:tc>
        <w:tc>
          <w:tcPr>
            <w:tcW w:type="dxa" w:w="289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backend/src/main/resources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数据源、AI 服务地址与版本配置</w:t>
            </w:r>
          </w:p>
        </w:tc>
      </w:tr>
    </w:tbl>
    <w:p>
      <w:pPr>
        <w:pStyle w:val="5"/>
      </w:pPr>
      <w:r>
        <w:rPr>
          <w:rFonts w:ascii="Times New Roman" w:hAnsi="Times New Roman" w:eastAsia="黑体"/>
          <w:b w:val="0"/>
        </w:rPr>
        <w:t>2.2.2.3 FastAPI AI 能力子系统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1、简介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负责模型 Provider 列表、资料解析、知识图谱生成、多模态规划、课堂结构生成、问答、TTS、ASR 和学习报告。未配置外部密钥时返回稳定的学科规则结果。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2、核心职责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按九学科规则生成结构化课堂内容。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完成资料清洗、切分、知识点抽取和质量校验。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提供图谱、多模态、语音和报告的统一适配接口。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真实模型不可用时返回确定性演示结果。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3、文件列表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92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1304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891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存放位置</w:t>
            </w:r>
          </w:p>
        </w:tc>
        <w:tc>
          <w:tcPr>
            <w:tcW w:type="dxa" w:w="2835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router.py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ai-service/app/api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HTTP 路由与稳定降级实现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lesson.py</w:t>
            </w:r>
          </w:p>
        </w:tc>
        <w:tc>
          <w:tcPr>
            <w:tcW w:type="dxa" w:w="130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Pydantic</w:t>
            </w:r>
          </w:p>
        </w:tc>
        <w:tc>
          <w:tcPr>
            <w:tcW w:type="dxa" w:w="289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ai-service/app/schemas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课堂生成和问答请求响应模型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rag/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Package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ai-service/app/rag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资料解析、切分和检索扩展点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models/</w:t>
            </w:r>
          </w:p>
        </w:tc>
        <w:tc>
          <w:tcPr>
            <w:tcW w:type="dxa" w:w="130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Package</w:t>
            </w:r>
          </w:p>
        </w:tc>
        <w:tc>
          <w:tcPr>
            <w:tcW w:type="dxa" w:w="289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ai-service/app/models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LLM、语音、视觉模型适配扩展点</w:t>
            </w:r>
          </w:p>
        </w:tc>
      </w:tr>
    </w:tbl>
    <w:p>
      <w:pPr>
        <w:pStyle w:val="5"/>
      </w:pPr>
      <w:r>
        <w:rPr>
          <w:rFonts w:ascii="Times New Roman" w:hAnsi="Times New Roman" w:eastAsia="黑体"/>
          <w:b w:val="0"/>
        </w:rPr>
        <w:t>2.2.2.4 核心类及关系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Course 是业务后端的当前持久化聚合根；LessonPlan、Scene、KnowledgeGraph、Material、LearningRecord 和 AgentRole 是前端与 AI 服务共享的课堂设计概念。当前 Demo 中扩展数据主要保存在浏览器课程对象，产品化时应拆分为独立表并由后端统一管理。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256000" cy="35129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心数据类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12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2-5 核心数据类图</w:t>
      </w:r>
    </w:p>
    <w:p>
      <w:pPr>
        <w:pStyle w:val="4"/>
      </w:pPr>
      <w:r>
        <w:rPr>
          <w:rFonts w:ascii="Times New Roman" w:hAnsi="Times New Roman" w:eastAsia="黑体"/>
          <w:b w:val="0"/>
        </w:rPr>
        <w:t>2.2.3 接口描述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所有接口使用 UTF-8 JSON，业务后端对前端统一返回 {code, message, data}。前端接口前缀和业务后端代理 AI 接口前缀均为 /api/v1。下表区分当前代码已实现接口和规划接口。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134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3402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311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/courses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查询课程列表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/courses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创建课程草稿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/courses/{id}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查询课程详情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PUT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/courses/{id}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修改课程与状态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/courses/{id}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删除课程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/ai/lessons/generate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生成结构化课堂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/ai/lessons/chat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导师问答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/ai/providers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查询模型 Provider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/ai/materials/parse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解析课程资料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已实现适配</w:t>
            </w:r>
          </w:p>
        </w:tc>
      </w:tr>
      <w:tr>
        <w:tc>
          <w:tcPr>
            <w:tcW w:type="dxa" w:w="113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/ai/knowledge-graphs/generate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生成知识图谱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/ai/content/multimodal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生成多模态内容计划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已实现适配</w:t>
            </w:r>
          </w:p>
        </w:tc>
      </w:tr>
      <w:tr>
        <w:tc>
          <w:tcPr>
            <w:tcW w:type="dxa" w:w="113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/ai/speech/tts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文本转语音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客户端降级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/ai/speech/asr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语音转文本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客户端降级</w:t>
            </w:r>
          </w:p>
        </w:tc>
      </w:tr>
      <w:tr>
        <w:tc>
          <w:tcPr>
            <w:tcW w:type="dxa" w:w="113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/ai/reports/generate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生成学习报告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已实现适配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/auth/login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用户登录与令牌签发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规划增强</w:t>
            </w:r>
          </w:p>
        </w:tc>
      </w:tr>
      <w:tr>
        <w:tc>
          <w:tcPr>
            <w:tcW w:type="dxa" w:w="113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/courses/{id}/review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课程提交/处理审核</w:t>
            </w:r>
          </w:p>
        </w:tc>
        <w:tc>
          <w:tcPr>
            <w:tcW w:type="dxa" w:w="1247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规划增强</w:t>
            </w:r>
          </w:p>
        </w:tc>
      </w:tr>
    </w:tbl>
    <w:p>
      <w:pPr>
        <w:pStyle w:val="5"/>
      </w:pPr>
      <w:r>
        <w:rPr>
          <w:rFonts w:ascii="Times New Roman" w:hAnsi="Times New Roman" w:eastAsia="黑体"/>
          <w:b w:val="0"/>
        </w:rPr>
        <w:t>2.2.3.1 课堂生成接口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Name 名称：Generate Lesson；Definition 定义：POST /api/v1/ai/lessons/generate。请求包含 topic、subject、grade、duration、provider、content_style；响应 data 为 LessonGenerateResponse，含目标、重难点、五个场景、测验、作业、资源和评价。topic 必填且不超过 100 字，duration 为 20～120 分钟。</w:t>
      </w:r>
    </w:p>
    <w:p>
      <w:pPr>
        <w:pStyle w:val="5"/>
      </w:pPr>
      <w:r>
        <w:rPr>
          <w:rFonts w:ascii="Times New Roman" w:hAnsi="Times New Roman" w:eastAsia="黑体"/>
          <w:b w:val="0"/>
        </w:rPr>
        <w:t>2.2.3.2 AI 导师问答接口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Name 名称：Lesson Chat；Definition 定义：POST /api/v1/ai/lessons/chat。请求包含 question、topic、subject、grade、scene_title、knowledge_points、history 和 provider；响应包含 answer、follow_up、provider。问题不超过 500 字，对话历史最多保留 8 条，失败时前端使用当前知识点和学科规则生成降级回答。</w:t>
      </w:r>
    </w:p>
    <w:p w14:paraId="1CB81A0E">
      <w:pPr>
        <w:rPr>
          <w:rFonts w:hint="eastAsia"/>
          <w:color w:val="0000FF"/>
          <w:sz w:val="21"/>
          <w:szCs w:val="21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ascii="Times New Roman" w:hAnsi="Times New Roman" w:eastAsia="宋体"/>
          <w:b w:val="0"/>
          <w:sz w:val="21"/>
        </w:rPr>
      </w:r>
    </w:p>
    <w:bookmarkEnd w:id="87"/>
    <w:bookmarkEnd w:id="88"/>
    <w:bookmarkEnd w:id="89"/>
    <w:bookmarkEnd w:id="94"/>
    <w:bookmarkEnd w:id="95"/>
    <w:bookmarkEnd w:id="96"/>
    <w:bookmarkEnd w:id="97"/>
    <w:p>
      <w:pPr>
        <w:pStyle w:val="2"/>
      </w:pPr>
      <w:r>
        <w:rPr>
          <w:rFonts w:ascii="Times New Roman" w:hAnsi="Times New Roman" w:eastAsia="黑体"/>
          <w:b w:val="0"/>
        </w:rPr>
        <w:t>3 数据结构/数据库设计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Demo 0.4 采用“服务端核心课程数据 + 浏览器扩展课堂对象”的双层数据方案。Spring Boot 当前持久化 Course 实体；图谱、多模态、智能体和学习记录随课程对象存入 localStorage，便于离线演示。产品化阶段按下述逻辑模型拆分到 MySQL，并保持 AI 服务无权直接修改核心业务数据。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3.1 概念模型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984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实体</w:t>
            </w:r>
          </w:p>
        </w:tc>
        <w:tc>
          <w:tcPr>
            <w:tcW w:type="dxa" w:w="3402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  <w:tc>
          <w:tcPr>
            <w:tcW w:type="dxa" w:w="3402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主要关系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 User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教师、学生、管理员身份与状态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拥有课程、产生学习记录</w:t>
            </w:r>
          </w:p>
        </w:tc>
      </w:tr>
      <w:tr>
        <w:tc>
          <w:tcPr>
            <w:tcW w:type="dxa" w:w="198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 Course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标题、学科、年级、状态和版本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聚合场景、资料、图谱、测验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课堂场景 LessonScene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五阶段教学内容与活动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隶属课程，关联知识点</w:t>
            </w:r>
          </w:p>
        </w:tc>
      </w:tr>
      <w:tr>
        <w:tc>
          <w:tcPr>
            <w:tcW w:type="dxa" w:w="198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资料 Material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文件、解析状态、分块和摘要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隶属课程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知识点 KnowledgePoint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名称、说明、掌握度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通过边形成前置/包含/因果/关联关系</w:t>
            </w:r>
          </w:p>
        </w:tc>
      </w:tr>
      <w:tr>
        <w:tc>
          <w:tcPr>
            <w:tcW w:type="dxa" w:w="198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题目 Quiz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题干、选项、答案、解析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隶属课程或场景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学习记录 LearningRecord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动作、目标、时长、得分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关联用户与课程</w:t>
            </w:r>
          </w:p>
        </w:tc>
      </w:tr>
      <w:tr>
        <w:tc>
          <w:tcPr>
            <w:tcW w:type="dxa" w:w="1984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 AgentMessage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角色、内容、时间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构成多智能体对话历史</w:t>
            </w:r>
          </w:p>
        </w:tc>
      </w:tr>
    </w:tbl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核心对象关系见图 2-5。知识图谱在逻辑上由 KnowledgePoint 与 KnowledgeEdge 组成；边的 type 仅允许前置、包含、因果和关联。Course.status 当前使用 DRAFT/PUBLISHED，目标状态机扩展为 DRAFT、GENERATING、PENDING_REVIEW、PUBLISHED、COMPLETED、FAILED。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3.2 数据库表设计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92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表名</w:t>
            </w:r>
          </w:p>
        </w:tc>
        <w:tc>
          <w:tcPr>
            <w:tcW w:type="dxa" w:w="5216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主要字段</w:t>
            </w:r>
          </w:p>
        </w:tc>
        <w:tc>
          <w:tcPr>
            <w:tcW w:type="dxa" w:w="1701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实现说明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title; subject; grade; status; scenes; updated_at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当前已实现 JPA 实体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</w:t>
            </w:r>
          </w:p>
        </w:tc>
        <w:tc>
          <w:tcPr>
            <w:tcW w:type="dxa" w:w="5216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username; password_hash; role; status</w:t>
            </w:r>
          </w:p>
        </w:tc>
        <w:tc>
          <w:tcPr>
            <w:tcW w:type="dxa" w:w="170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产品化规划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lesson_scene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course_id FK; type; title; content_json; sort_order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产品化规划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material</w:t>
            </w:r>
          </w:p>
        </w:tc>
        <w:tc>
          <w:tcPr>
            <w:tcW w:type="dxa" w:w="5216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course_id FK; file_name; file_type; parse_status; chunks</w:t>
            </w:r>
          </w:p>
        </w:tc>
        <w:tc>
          <w:tcPr>
            <w:tcW w:type="dxa" w:w="170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产品化规划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knowledge_point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course_id FK; name; description; mastery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产品化规划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knowledge_edge</w:t>
            </w:r>
          </w:p>
        </w:tc>
        <w:tc>
          <w:tcPr>
            <w:tcW w:type="dxa" w:w="5216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course_id FK; from_id FK; to_id FK; relation_type</w:t>
            </w:r>
          </w:p>
        </w:tc>
        <w:tc>
          <w:tcPr>
            <w:tcW w:type="dxa" w:w="170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产品化规划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quiz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course_id FK; scene_id FK; question; options_json; answer; analysis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产品化规划</w:t>
            </w:r>
          </w:p>
        </w:tc>
      </w:tr>
      <w:tr>
        <w:tc>
          <w:tcPr>
            <w:tcW w:type="dxa" w:w="192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learning_record</w:t>
            </w:r>
          </w:p>
        </w:tc>
        <w:tc>
          <w:tcPr>
            <w:tcW w:type="dxa" w:w="5216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user_id FK; course_id FK; action; target; seconds; score; created_at</w:t>
            </w:r>
          </w:p>
        </w:tc>
        <w:tc>
          <w:tcPr>
            <w:tcW w:type="dxa" w:w="170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产品化规划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agent_message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 PK; course_id FK; user_id FK; role; content; created_at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产品化规划</w:t>
            </w:r>
          </w:p>
        </w:tc>
      </w:tr>
    </w:tbl>
    <w:p>
      <w:pPr>
        <w:pStyle w:val="3"/>
      </w:pPr>
      <w:r>
        <w:rPr>
          <w:rFonts w:ascii="Times New Roman" w:hAnsi="Times New Roman" w:eastAsia="黑体"/>
          <w:b w:val="0"/>
        </w:rPr>
        <w:t>3.3 存储过程设计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当前版本不使用数据库存储过程。课程状态、生成流程和学习统计由 Java/Python/TypeScript 服务逻辑实现，避免将跨服务业务规则固化在数据库中。后续仅在出现大批量归档或统计性能问题时评估引入存储过程。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3.4 视图设计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当前版本不创建物理数据库视图。产品化阶段可建立 v_course_overview（课程、场景数、资料数、发布状态）和 v_student_mastery（学生、课程、知识点掌握度）只读视图，为教师工作台和学习报告提供汇总数据。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3.5 触发器设计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当前版本不使用触发器。updated_at 由实体更新方法维护，删除、审核和发布等操作应由业务服务完成权限校验并写入审计日志，以保证行为可测试、可追踪。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3.6 函数设计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231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函数</w:t>
            </w:r>
          </w:p>
        </w:tc>
        <w:tc>
          <w:tcPr>
            <w:tcW w:type="dxa" w:w="5669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createLesson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按主题、学科和年级生成基础 LessonPlan</w:t>
            </w:r>
          </w:p>
        </w:tc>
      </w:tr>
      <w:tr>
        <w:tc>
          <w:tcPr>
            <w:tcW w:type="dxa" w:w="323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buildDemo04Data</w:t>
            </w:r>
          </w:p>
        </w:tc>
        <w:tc>
          <w:tcPr>
            <w:tcW w:type="dxa" w:w="5669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根据 LessonPlan 构建图谱、多模态、学习路径和项目任务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enrichCourse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迁移旧版本课程并补全 Demo 0.4 字段</w:t>
            </w:r>
          </w:p>
        </w:tc>
      </w:tr>
      <w:tr>
        <w:tc>
          <w:tcPr>
            <w:tcW w:type="dxa" w:w="323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generate_lesson</w:t>
            </w:r>
          </w:p>
        </w:tc>
        <w:tc>
          <w:tcPr>
            <w:tcW w:type="dxa" w:w="5669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FastAPI 按学科规则生成结构化课堂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knowledge_graph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生成八节点知识关系图</w:t>
            </w:r>
          </w:p>
        </w:tc>
      </w:tr>
      <w:tr>
        <w:tc>
          <w:tcPr>
            <w:tcW w:type="dxa" w:w="3231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lessonHtml/buildPptxBytes/buildPackageBytes</w:t>
            </w:r>
          </w:p>
        </w:tc>
        <w:tc>
          <w:tcPr>
            <w:tcW w:type="dxa" w:w="5669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生成四类导出产物</w:t>
            </w:r>
          </w:p>
        </w:tc>
      </w:tr>
    </w:tbl>
    <w:p>
      <w:pPr>
        <w:pStyle w:val="3"/>
      </w:pPr>
      <w:r>
        <w:rPr>
          <w:rFonts w:ascii="Times New Roman" w:hAnsi="Times New Roman" w:eastAsia="黑体"/>
          <w:b w:val="0"/>
        </w:rPr>
        <w:t>3.7 基础数据配置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26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配置项</w:t>
            </w:r>
          </w:p>
        </w:tc>
        <w:tc>
          <w:tcPr>
            <w:tcW w:type="dxa" w:w="6633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值或规则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九学科</w:t>
            </w:r>
          </w:p>
        </w:tc>
        <w:tc>
          <w:tcPr>
            <w:tcW w:type="dxa" w:w="66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语文、数学、英语、历史、地理、生物、化学、物理、道德与法治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 Provider</w:t>
            </w:r>
          </w:p>
        </w:tc>
        <w:tc>
          <w:tcPr>
            <w:tcW w:type="dxa" w:w="6633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DeepSeek、通义千问、Kimi、MiniMax、本地演示模型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知识关系</w:t>
            </w:r>
          </w:p>
        </w:tc>
        <w:tc>
          <w:tcPr>
            <w:tcW w:type="dxa" w:w="66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前置、包含、因果、关联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智能体角色</w:t>
            </w:r>
          </w:p>
        </w:tc>
        <w:tc>
          <w:tcPr>
            <w:tcW w:type="dxa" w:w="6633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导师、AI 同学、课堂记录员、项目教练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课程状态</w:t>
            </w:r>
          </w:p>
        </w:tc>
        <w:tc>
          <w:tcPr>
            <w:tcW w:type="dxa" w:w="66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 DRAFT/PUBLISHED；目标状态见开发约定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本地键</w:t>
            </w:r>
          </w:p>
        </w:tc>
        <w:tc>
          <w:tcPr>
            <w:tcW w:type="dxa" w:w="6633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zhixue-courses-demo04、zhixue-learning-records-demo04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服务地址</w:t>
            </w:r>
          </w:p>
        </w:tc>
        <w:tc>
          <w:tcPr>
            <w:tcW w:type="dxa" w:w="66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Boot 8080；FastAPI 默认 8000；AI_SERVICE_URL 可配置</w:t>
            </w:r>
          </w:p>
        </w:tc>
      </w:tr>
    </w:tbl>
    <w:p w14:paraId="15F91CE6">
      <w:p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2"/>
      </w:pPr>
      <w:r>
        <w:rPr>
          <w:rFonts w:ascii="Times New Roman" w:hAnsi="Times New Roman" w:eastAsia="黑体"/>
          <w:b w:val="0"/>
        </w:rPr>
        <w:t>4 界面设计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界面采用固定侧栏、顶部状态区和响应式内容区。主色为蓝紫色，卡片使用浅色边框和圆角；桌面端优先支持 1366 像素及以上宽度，小屏时多列布局自动折叠。所有核心页面均展示当前课程、服务在线/降级状态和明确的操作反馈。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4.1 教学工作台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工作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4.1 教学工作台界面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展示 Demo 0.4 核心价值、课程知识库数量、图谱节点数、班级掌握度、学习时长和课程列表。教师可按学科筛选课程，并执行进入课堂、查看学情和删除操作。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4.2 知识库与知识图谱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知识图谱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4.2 知识库与知识图谱界面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左侧展示资料解析状态和知识点，中部绘制可缩放、可筛选的知识图谱，右侧编辑节点名称、说明、掌握度和关系。节点编辑后同步影响后续内容生成约束。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4.3 互动课堂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互动课堂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4.3 互动课堂界面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左侧按五个场景导航，中部呈现课堂内容、教师活动、学生活动、图谱约束、语音提问、AI 白板和测验，右侧展示个性化学习路径及项目任务。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4.4 多智能体协同课堂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多智能体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4.4 多智能体协同课堂界面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教师可启用或停用 AI 导师、AI 同学、记录员和项目教练。中部保存多角色对话历史，右侧记录重点、难点和待办，并支持导出课堂笔记。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4.5 学习分析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学习分析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18"/>
        </w:rPr>
        <w:t>图 4.5 学习分析界面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汇总学习动作、学习时长、测验得分和知识点掌握度；支持全班/个人视角、薄弱点筛选、兴趣标签和推荐学习路径。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4.6 其他主要界面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26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界面</w:t>
            </w:r>
          </w:p>
        </w:tc>
        <w:tc>
          <w:tcPr>
            <w:tcW w:type="dxa" w:w="6633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设计说明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智能生成</w:t>
            </w:r>
          </w:p>
        </w:tc>
        <w:tc>
          <w:tcPr>
            <w:tcW w:type="dxa" w:w="66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输入主题、学科、年级、Provider、内容模式和时长，提供九学科示例入口。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多模态内容</w:t>
            </w:r>
          </w:p>
        </w:tc>
        <w:tc>
          <w:tcPr>
            <w:tcW w:type="dxa" w:w="6633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以标签页切换沉浸文本、分段测验、PPT 与旁白、双 AI 音频、思维导图和互动教材。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学科资源</w:t>
            </w:r>
          </w:p>
        </w:tc>
        <w:tc>
          <w:tcPr>
            <w:tcW w:type="dxa" w:w="66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展示九学科对应的教学方法、多模态策略和已有课程数。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导出操作</w:t>
            </w:r>
          </w:p>
        </w:tc>
        <w:tc>
          <w:tcPr>
            <w:tcW w:type="dxa" w:w="6633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课堂工具栏提供 JSON、PPTX、HTML、ZIP；操作完成后记录到学习行为。</w:t>
            </w:r>
          </w:p>
        </w:tc>
      </w:tr>
    </w:tbl>
    <w:p w14:paraId="15CC7BBC">
      <w:p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2"/>
      </w:pPr>
      <w:r>
        <w:rPr>
          <w:rFonts w:ascii="Times New Roman" w:hAnsi="Times New Roman" w:eastAsia="黑体"/>
          <w:b w:val="0"/>
        </w:rPr>
        <w:t>5 出错处理设计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系统将输入错误、业务错误、AI 服务错误、资料解析错误、浏览器能力缺失和导出错误分层处理。前端向用户显示可理解的提示，业务后端返回统一错误结构，AI 服务提供可替换的稳定降级结果；任何失败均不得破坏已保存课程或阻断离线演示主链路。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5.1 统一异常响应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1"/>
        </w:rPr>
        <w:t>业务后端成功响应为 {code: "OK", message: "success", data: ...}。产品化阶段异常统一映射为 VALIDATION_ERROR、NOT_FOUND、FORBIDDEN、AI_TIMEOUT、AI_INVALID_OUTPUT、MATERIAL_PARSE_FAILED、EXPORT_FAILED 和 INTERNAL_ERROR，并携带 traceId；日志不得记录密码、令牌、模型密钥和完整敏感资料。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26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异常场景</w:t>
            </w:r>
          </w:p>
        </w:tc>
        <w:tc>
          <w:tcPr>
            <w:tcW w:type="dxa" w:w="3515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</w:t>
            </w:r>
          </w:p>
        </w:tc>
        <w:tc>
          <w:tcPr>
            <w:tcW w:type="dxa" w:w="3118"/>
            <w:vAlign w:val="center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恢复/降级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参数校验失败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阻止提交并定位字段；HTTP 400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保留用户输入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课程不存在</w:t>
            </w:r>
          </w:p>
        </w:tc>
        <w:tc>
          <w:tcPr>
            <w:tcW w:type="dxa" w:w="351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提示课程已删除或无权限；HTTP 404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返回课程列表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超时/不可用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标记模型服务离线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本地规则生成或允许重试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输出结构错误</w:t>
            </w:r>
          </w:p>
        </w:tc>
        <w:tc>
          <w:tcPr>
            <w:tcW w:type="dxa" w:w="351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Schema 校验失败，不写入业务数据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重试一次后使用演示结果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资料解析失败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单文件显示失败状态和原因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不影响其他资料与课堂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TTS/ASR 不可用</w:t>
            </w:r>
          </w:p>
        </w:tc>
        <w:tc>
          <w:tcPr>
            <w:tcW w:type="dxa" w:w="351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明确提示浏览器能力缺失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显示完整文本脚本并允许键盘输入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导出失败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提示格式及失败原因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其他导出格式仍可使用</w:t>
            </w:r>
          </w:p>
        </w:tc>
      </w:tr>
      <w:tr>
        <w:tc>
          <w:tcPr>
            <w:tcW w:type="dxa" w:w="226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localStorage 异常</w:t>
            </w:r>
          </w:p>
        </w:tc>
        <w:tc>
          <w:tcPr>
            <w:tcW w:type="dxa" w:w="3515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捕获解析/容量错误</w:t>
            </w:r>
          </w:p>
        </w:tc>
        <w:tc>
          <w:tcPr>
            <w:tcW w:type="dxa" w:w="3118"/>
            <w:vAlign w:val="center"/>
            <w:shd w:fill="F7F9F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回退种子课程，不覆盖原数据</w:t>
            </w:r>
          </w:p>
        </w:tc>
      </w:tr>
    </w:tbl>
    <w:p>
      <w:pPr>
        <w:pStyle w:val="3"/>
      </w:pPr>
      <w:r>
        <w:rPr>
          <w:rFonts w:ascii="Times New Roman" w:hAnsi="Times New Roman" w:eastAsia="黑体"/>
          <w:b w:val="0"/>
        </w:rPr>
        <w:t>5.2 重试、超时与熔断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普通业务接口目标 P95 不超过 2 秒；AI 首次响应目标不超过 8 秒，长耗时操作必须显示生成状态。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AI 请求只对网络瞬断和 5xx 执行有限重试；格式错误重试一次，禁止无限循环。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连续失败后切换本地 Provider，并在顶部状态区显示“智能降级层在线”。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恢复后新请求可重新探测服务，已完成的本地课堂不自动覆盖。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5.3 数据一致性与恢复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AI 结果经 Pydantic/DTO 校验后才进入课程对象或数据库。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课程修改采用先取得目标实体、再更新允许字段、最后持久化的流程；不存在时返回 404。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浏览器迁移函数 enrichCourse 对 Demo 0.2/0.3 数据补全字段，并保留原课程标题和内容。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删除操作在产品化阶段需二次确认、权限校验与审计记录；重要数据执行每日备份。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导出在内存中构建 Blob/Office Open XML，不修改课程主数据。</w:t>
      </w:r>
    </w:p>
    <w:p>
      <w:pPr>
        <w:pStyle w:val="3"/>
      </w:pPr>
      <w:r>
        <w:rPr>
          <w:rFonts w:ascii="Times New Roman" w:hAnsi="Times New Roman" w:eastAsia="黑体"/>
          <w:b w:val="0"/>
        </w:rPr>
        <w:t>5.4 安全与可观测性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生产环境启用 Spring Security、JWT 和角色授权；当前 permitAll 仅限 Demo 联调。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数据库密码、JWT 密钥和 Provider Key 通过环境变量注入，禁止写入前端和日志。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记录请求类型、耗时、Provider、降级状态、错误码和 traceId，不记录完整教学资料与敏感问答。</w:t>
      </w:r>
    </w:p>
    <w:p>
      <w:pPr>
        <w:spacing w:line="360" w:lineRule="auto" w:after="120"/>
        <w:ind w:left="340" w:hanging="227"/>
      </w:pPr>
      <w:r>
        <w:rPr>
          <w:rFonts w:ascii="Times New Roman" w:hAnsi="Times New Roman" w:eastAsia="宋体"/>
          <w:b w:val="0"/>
          <w:sz w:val="21"/>
        </w:rPr>
        <w:t>• 对文件类型、大小、名称和解析结果进行校验；对生成 HTML 进行转义，避免脚本注入。</w:t>
      </w:r>
    </w:p>
    <w:sectPr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F92E6">
    <w:pPr>
      <w:pStyle w:val="11"/>
    </w:pPr>
    <w:r>
      <w:rPr>
        <w:rFonts w:hint="eastAsia"/>
        <w:b/>
        <w:color w:val="7F7F7F"/>
        <w:lang w:val="en-US" w:eastAsia="zh-CN"/>
      </w:rPr>
      <w:t xml:space="preserve"> 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</w:t>
    </w:r>
    <w:r>
      <w:rPr>
        <w:rFonts w:hint="eastAsia"/>
        <w:b/>
        <w:color w:val="7F7F7F"/>
        <w:lang w:val="en-US" w:eastAsia="zh-CN"/>
      </w:rPr>
      <w:t xml:space="preserve">    </w:t>
    </w:r>
    <w:r>
      <w:rPr>
        <w:rFonts w:hint="eastAsia"/>
        <w:b/>
        <w:color w:val="7F7F7F"/>
      </w:rPr>
      <w:t xml:space="preserve">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1AC31763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AF443">
    <w:pPr>
      <w:pStyle w:val="11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AE373">
    <w:pPr>
      <w:pStyle w:val="11"/>
    </w:pPr>
    <w:r>
      <w:rPr>
        <w:rFonts w:hint="eastAsia"/>
        <w:b/>
        <w:color w:val="7F7F7F"/>
        <w:lang w:val="en-US" w:eastAsia="zh-CN"/>
      </w:rPr>
      <w:t xml:space="preserve">  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</w:t>
    </w:r>
    <w:r>
      <w:rPr>
        <w:rFonts w:hint="eastAsia"/>
        <w:b/>
        <w:color w:val="7F7F7F"/>
        <w:lang w:val="en-US" w:eastAsia="zh-CN"/>
      </w:rPr>
      <w:t xml:space="preserve">    </w:t>
    </w:r>
    <w:r>
      <w:rPr>
        <w:rFonts w:hint="eastAsia"/>
        <w:b/>
        <w:color w:val="7F7F7F"/>
      </w:rPr>
      <w:t xml:space="preserve">  </w:t>
    </w:r>
    <w:r>
      <w:rPr>
        <w:rFonts w:hint="eastAsia"/>
        <w:b/>
        <w:color w:val="7F7F7F"/>
        <w:lang w:val="en-US" w:eastAsia="zh-CN"/>
      </w:rPr>
      <w:t xml:space="preserve">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60F1D90E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02E1D">
    <w:pPr>
      <w:pStyle w:val="12"/>
      <w:pBdr>
        <w:bottom w:val="none" w:color="auto" w:sz="0" w:space="1"/>
      </w:pBdr>
      <w:tabs>
        <w:tab w:val="clear" w:pos="4153"/>
        <w:tab w:val="clear" w:pos="8306"/>
      </w:tabs>
    </w:pPr>
    <w:r>
      <w:rPr>
        <w:u w:val="single"/>
      </w:rPr>
      <w:pict>
        <v:shape id="_x0000_i1025" o:spt="75" type="#_x0000_t75" style="height:28.5pt;width:432.75pt;" filled="f" o:preferrelative="t" stroked="f" coordsize="21600,21600">
          <v:path/>
          <v:fill on="f" focussize="0,0"/>
          <v:stroke on="f"/>
          <v:imagedata r:id="rId1" o:title=""/>
          <o:lock v:ext="edit" aspectratio="t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9BC21">
    <w:pPr>
      <w:pStyle w:val="12"/>
      <w:pBdr>
        <w:bottom w:val="none" w:color="auto" w:sz="0" w:space="1"/>
      </w:pBdr>
      <w:jc w:val="left"/>
    </w:pPr>
    <w:r>
      <w:rPr>
        <w:rFonts w:hint="eastAsia"/>
        <w:lang w:val="en-US" w:eastAsia="zh-CN"/>
      </w:rPr>
      <w:t xml:space="preserve">                           </w:t>
    </w:r>
    <w:r>
      <w:rPr>
        <w:u w:val="single"/>
      </w:rPr>
      <w:pict>
        <v:shape id="_x0000_i1028" o:spt="75" type="#_x0000_t75" style="height:28.5pt;width:432.75pt;" filled="f" o:preferrelative="t" stroked="f" coordsize="21600,21600">
          <v:path/>
          <v:fill on="f" focussize="0,0"/>
          <v:stroke on="f"/>
          <v:imagedata r:id="rId1" o:title=""/>
          <o:lock v:ext="edit" aspectratio="t"/>
          <w10:wrap type="none"/>
          <w10:anchorlock/>
        </v:shape>
      </w:pict>
    </w:r>
    <w:r>
      <w:rPr>
        <w:rFonts w:hint="eastAsia"/>
        <w:lang w:val="en-US" w:eastAsia="zh-CN"/>
      </w:rPr>
      <w:t xml:space="preserve">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GE3Y2I3OTRlNTA1NjUwZGY1NGI3NTM4NWZhMGI4N2IifQ=="/>
  </w:docVars>
  <w:rsids>
    <w:rsidRoot w:val="00172A27"/>
    <w:rsid w:val="0EC60F95"/>
    <w:rsid w:val="18584E7F"/>
    <w:rsid w:val="2D45244D"/>
    <w:rsid w:val="48DF0586"/>
    <w:rsid w:val="57866ED1"/>
    <w:rsid w:val="5A897717"/>
    <w:rsid w:val="635A2B8A"/>
    <w:rsid w:val="66867D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utoSpaceDE w:val="0"/>
      <w:autoSpaceDN w:val="0"/>
      <w:adjustRightInd w:val="0"/>
    </w:pPr>
    <w:rPr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character" w:default="1" w:styleId="19">
    <w:name w:val="Default Paragraph Font"/>
    <w:link w:val="20"/>
    <w:semiHidden/>
    <w:uiPriority w:val="0"/>
  </w:style>
  <w:style w:type="table" w:default="1" w:styleId="18">
    <w:name w:val="Normal Table"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Body Text"/>
    <w:basedOn w:val="1"/>
    <w:uiPriority w:val="0"/>
    <w:pPr>
      <w:spacing w:after="120" w:afterLines="0"/>
    </w:pPr>
  </w:style>
  <w:style w:type="paragraph" w:styleId="9">
    <w:name w:val="toc 5"/>
    <w:basedOn w:val="1"/>
    <w:next w:val="1"/>
    <w:semiHidden/>
    <w:uiPriority w:val="0"/>
    <w:pPr>
      <w:ind w:left="1680" w:leftChars="800"/>
    </w:pPr>
  </w:style>
  <w:style w:type="paragraph" w:styleId="10">
    <w:name w:val="toc 3"/>
    <w:basedOn w:val="1"/>
    <w:next w:val="1"/>
    <w:semiHidden/>
    <w:uiPriority w:val="0"/>
    <w:pPr>
      <w:ind w:left="840" w:leftChars="4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iPriority w:val="0"/>
  </w:style>
  <w:style w:type="paragraph" w:styleId="14">
    <w:name w:val="toc 4"/>
    <w:basedOn w:val="1"/>
    <w:next w:val="1"/>
    <w:semiHidden/>
    <w:uiPriority w:val="0"/>
    <w:pPr>
      <w:ind w:left="1260" w:leftChars="600"/>
    </w:pPr>
  </w:style>
  <w:style w:type="paragraph" w:styleId="15">
    <w:name w:val="toc 2"/>
    <w:basedOn w:val="1"/>
    <w:next w:val="1"/>
    <w:semiHidden/>
    <w:uiPriority w:val="0"/>
    <w:pPr>
      <w:ind w:left="420" w:leftChars="200"/>
    </w:pPr>
  </w:style>
  <w:style w:type="paragraph" w:styleId="16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Arial" w:hAnsi="Arial" w:cs="Arial"/>
      <w:sz w:val="24"/>
      <w:szCs w:val="24"/>
    </w:rPr>
  </w:style>
  <w:style w:type="paragraph" w:styleId="17">
    <w:name w:val="Body Text First Indent"/>
    <w:basedOn w:val="1"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paragraph" w:customStyle="1" w:styleId="20">
    <w:name w:val=" Char Char Char1 Char Char Char Char Char Char Char"/>
    <w:basedOn w:val="1"/>
    <w:link w:val="19"/>
    <w:uiPriority w:val="0"/>
    <w:rPr>
      <w:rFonts w:ascii="Tahoma" w:hAnsi="Tahoma"/>
      <w:sz w:val="24"/>
    </w:rPr>
  </w:style>
  <w:style w:type="character" w:styleId="21">
    <w:name w:val="page number"/>
    <w:basedOn w:val="19"/>
    <w:uiPriority w:val="0"/>
  </w:style>
  <w:style w:type="character" w:styleId="22">
    <w:name w:val="Hyperlink"/>
    <w:basedOn w:val="19"/>
    <w:uiPriority w:val="0"/>
    <w:rPr>
      <w:color w:val="0000FF"/>
      <w:u w:val="single"/>
    </w:rPr>
  </w:style>
  <w:style w:type="character" w:customStyle="1" w:styleId="23">
    <w:name w:val="表格文本 Char"/>
    <w:basedOn w:val="19"/>
    <w:link w:val="24"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24">
    <w:name w:val="表格文本"/>
    <w:basedOn w:val="1"/>
    <w:link w:val="23"/>
    <w:uiPriority w:val="0"/>
    <w:pPr>
      <w:tabs>
        <w:tab w:val="decimal" w:pos="0"/>
      </w:tabs>
    </w:pPr>
    <w:rPr>
      <w:rFonts w:ascii="Arial" w:hAnsi="Arial"/>
      <w:sz w:val="21"/>
      <w:szCs w:val="21"/>
      <w:lang/>
    </w:rPr>
  </w:style>
  <w:style w:type="character" w:customStyle="1" w:styleId="25">
    <w:name w:val="编写建议 Char Char"/>
    <w:basedOn w:val="19"/>
    <w:link w:val="26"/>
    <w:uiPriority w:val="0"/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paragraph" w:customStyle="1" w:styleId="26">
    <w:name w:val="编写建议 Char"/>
    <w:basedOn w:val="1"/>
    <w:link w:val="25"/>
    <w:uiPriority w:val="0"/>
    <w:pPr>
      <w:keepNext/>
      <w:widowControl/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27">
    <w:name w:val="缺省文本"/>
    <w:basedOn w:val="1"/>
    <w:uiPriority w:val="0"/>
    <w:pPr>
      <w:spacing w:line="360" w:lineRule="auto"/>
    </w:pPr>
    <w:rPr>
      <w:rFonts w:ascii="Arial" w:hAnsi="Arial"/>
      <w:sz w:val="21"/>
      <w:szCs w:val="21"/>
    </w:rPr>
  </w:style>
  <w:style w:type="paragraph" w:customStyle="1" w:styleId="28">
    <w:name w:val="封面文档标题"/>
    <w:basedOn w:val="1"/>
    <w:uiPriority w:val="0"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paragraph" w:customStyle="1" w:styleId="29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30">
    <w:name w:val="封面表格文本"/>
    <w:basedOn w:val="1"/>
    <w:uiPriority w:val="0"/>
    <w:pPr>
      <w:jc w:val="center"/>
    </w:pPr>
    <w:rPr>
      <w:rFonts w:ascii="Arial" w:hAnsi="Arial"/>
      <w:sz w:val="21"/>
      <w:szCs w:val="21"/>
    </w:rPr>
  </w:style>
  <w:style w:type="paragraph" w:customStyle="1" w:styleId="31">
    <w:name w:val=" Char Char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broadengate</Company>
  <Pages>12</Pages>
  <Words>1540</Words>
  <Characters>2231</Characters>
  <Lines>49</Lines>
  <Paragraphs>14</Paragraphs>
  <TotalTime>1</TotalTime>
  <ScaleCrop>false</ScaleCrop>
  <LinksUpToDate>false</LinksUpToDate>
  <CharactersWithSpaces>2392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2012-03-29T12:56:00Z</dcterms:created>
  <dc:creator>testing</dc:creator>
  <cp:lastModifiedBy>小强加里桑德森中士</cp:lastModifiedBy>
  <dcterms:modified xsi:type="dcterms:W3CDTF">2026-09-18T03:07:09Z</dcterms:modified>
  <dc:title>智能互动教学平台系统概要设计说明书</dc:title>
  <cp:revision>5</cp:revision>
  <dc:subject>Demo 0.4 系统架构、模块、接口、数据、界面和异常处理设计</dc:subject>
  <cp:keywords>智能互动教学, HLD, Vue 3, Spring Boot, FastAPI, 知识图谱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169B25E2632E4EF3A606282043A97111_13</vt:lpwstr>
  </property>
</Properties>
</file>