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2"/>
      <w:r>
        <w:t xml:space="preserve">2 Démarrage rapide</w:t>
      </w:r>
      <w:bookmarkEnd w:id="2"/>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off"/>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3"/>
      <w:r>
        <w:t xml:space="preserve">3 Rechercher fonctionnement et règles</w:t>
      </w:r>
      <w:bookmarkEnd w:id="3"/>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p>
      <w:pPr>
        <w:keepNext/>
        <w:spacing w:after="60" w:before="120"/>
        <w:jc w:val="center"/>
      </w:pPr>
      <w:r>
        <w:drawing>
          <wp:inline distT="0" distB="0" distL="0" distR="0">
            <wp:extent cx="5762625" cy="3238500"/>
            <wp:effectExtent t="0" r="0" b="0" l="0"/>
            <wp:docPr id="2" name="recherche" descr="Page Rechercher : l'arbre des OU à gauche, le périmètre et les filtres, puis la liste des postes et des utilisateurs avec leur présence réseau et l'utilisateur conso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Page Rechercher : l'arbre des OU à gauche, le périmètre et les filtres, puis la liste des postes et des utilisateurs avec leur présence réseau et l'utilisateur console</w:t>
      </w: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Délais : Browser.SearchServerTimeLimitSeconds (8 s, côté contrôleur) et Browser.SearchClientTimeoutSeconds (12 s, côté poste).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off"/>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La case « Inclure les sous-OU » est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90"/>
        <w:gridCol w:w="5267"/>
        <w:gridCol w:w="3381"/>
      </w:tblGrid>
      <w:tr>
        <w:trPr>
          <w:cantSplit/>
          <w:tblHeader/>
        </w:trPr>
        <w:tc>
          <w:tcPr>
            <w:tcW w:type="dxa" w:w="990"/>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5267"/>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3381"/>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off"/>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off"/>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off"/>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off"/>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Vue de travail</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Comptes expirant sous 30 jours, Comptes desactives, Objets modifies depuis 7 jours, Postes de cette OU, Postes sans connexion depuis 90 jours</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 Postes de cette OU » exige une OU choisie dans l'arbre.</w:t>
            </w:r>
          </w:p>
        </w:tc>
      </w:tr>
    </w:tbl>
    <w:p>
      <w:pPr>
        <w:spacing w:after="60"/>
      </w:pPr>
    </w:p>
    <w:p>
      <w:pPr>
        <w:keepNext w:val="false"/>
      </w:pPr>
      <w:r>
        <w:t xml:space="preserve">Le champ « Dans les résultats » filtre la liste déjà chargée, sans appel AD : nom, login, type, présence et association. La limite LDAP ne change pas.</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off"/>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3" name="recherche-actions" descr="Barre d'actions des résultats : case Utilisateur au clic, Revérifier ce poste, Pinger la liste, Détecter la liste, Analyser la liste et Arrêter"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0370" r="36771" b="56389"/>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off"/>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4"/>
      <w:r>
        <w:t xml:space="preserve">4 Fiches des objets</w:t>
      </w:r>
      <w:bookmarkEnd w:id="4"/>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off"/>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5"/>
      <w:r>
        <w:t xml:space="preserve">5 Outils du poste et compte des opérations poste</w:t>
      </w:r>
      <w:bookmarkEnd w:id="5"/>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4" name="fiche-poste" descr="Onglet Machine de la page Poste : carte Fiche du poste avec le DNS, la présence, le système, l'utilisateur associé et sa sour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5" name="actions-poste" descr="Actions du poste : état du compte, Ping, Bureau à distance, Ouvrir C$, consoles, journaux et services ; données ficti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6" name="actions-poste-avancees" descr="Autres actions : commande PowerShell, programme, stratégies et redémarrage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off"/>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off"/>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6"/>
      <w:r>
        <w:t xml:space="preserve">6 Inventaire du poste</w:t>
      </w:r>
      <w:bookmarkEnd w:id="6"/>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off"/>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7"/>
      <w:r>
        <w:t xml:space="preserve">7 Tableau de bord du poste</w:t>
      </w:r>
      <w:bookmarkEnd w:id="7"/>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7" name="tableau-poste" descr="Tableau de bord du poste PC-COMPTA-014 : score État général, points d'attention, identité du poste, compte machine dans AD et ressources mesuré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off"/>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off"/>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8"/>
      <w:r>
        <w:t xml:space="preserve">8 Tableau de bord et Atelier de requêtes</w:t>
      </w:r>
      <w:bookmarkEnd w:id="8"/>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spacing w:after="60" w:before="120"/>
        <w:jc w:val="center"/>
      </w:pPr>
      <w:r>
        <w:drawing>
          <wp:inline distT="0" distB="0" distL="0" distR="0">
            <wp:extent cx="5762625" cy="3724275"/>
            <wp:effectExtent t="0" r="0" b="0" l="0"/>
            <wp:docPr id="8" name="accueil" descr="Accueil : périmètre autonome du parc, couverture de la base et indicateurs ; données fictiv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Accueil : périmètre autonome du parc, couverture de la base et indicateurs ; données fictives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9"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4109"/>
        <w:gridCol w:w="4324"/>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410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324"/>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 Mettre à jour lʼOU choisie » dans Base autonome.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Collecte ciblée ou vérification explicite du poste.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Analyse du poste ou de la liste.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4109"/>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324"/>
            <w:tcMar>
              <w:top w:type="dxa" w:w="95"/>
              <w:left w:type="dxa" w:w="120"/>
              <w:bottom w:type="dxa" w:w="95"/>
              <w:right w:type="dxa" w:w="120"/>
            </w:tcMar>
            <w:vAlign w:val="center"/>
          </w:tcPr>
          <w:p>
            <w:pPr>
              <w:spacing w:after="0"/>
            </w:pPr>
            <w:r>
              <w:rPr>
                <w:b w:val="false"/>
                <w:bCs w:val="false"/>
                <w:color w:val="000000"/>
                <w:sz w:val="19"/>
                <w:szCs w:val="19"/>
              </w:rPr>
              <w:t xml:space="preserve">Actualiser les requêtes ou analyser la liste concernée.</w:t>
            </w:r>
          </w:p>
        </w:tc>
      </w:tr>
    </w:tbl>
    <w:p>
      <w:pPr>
        <w:spacing w:after="60"/>
      </w:pP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0"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904875"/>
            <wp:effectExtent t="0" r="0" b="0" l="0"/>
            <wp:docPr id="1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13802" t="52339" r="45052" b="37661"/>
                    <a:stretch>
                      <a:fillRect/>
                    </a:stretch>
                  </pic:blipFill>
                  <pic:spPr bwMode="auto">
                    <a:xfrm>
                      <a:off x="0" y="0"/>
                      <a:ext cx="5762625" cy="90487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 petite icône de la barre du parc et le bouton « Atelier de requêtes » de Rechercher ouvrent l’Atelier en conservant le brouillon. L’atelier utilise le périmètre du tableau de bord, indiqué en haut de sa page. « Résultats » réserve la place au tableau et à la fiche locale ; « Composer la requête » regroupe les conditions, les sauvegardes, les sondes et les réglages de collecte. « Bibliothèque » présente les modèles et vos requêtes personnelles. « Catalogue des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Composer la requête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Composer la requête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Composer la requête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2" name="atelier-requetes" descr="Atelier de requêtes : onglet Résultats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09675"/>
            <wp:effectExtent t="0" r="0" b="0" l="0"/>
            <wp:docPr id="13"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l="13802" t="32984" r="65990" b="58952"/>
                    <a:stretch>
                      <a:fillRect/>
                    </a:stretch>
                  </pic:blipFill>
                  <pic:spPr bwMode="auto">
                    <a:xfrm>
                      <a:off x="0" y="0"/>
                      <a:ext cx="4676775" cy="12096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Composer la requête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off"/>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105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314575"/>
            <wp:effectExtent t="0" r="0" b="0" l="0"/>
            <wp:docPr id="14"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3021" t="27222" r="2708" b="12593"/>
                    <a:stretch>
                      <a:fillRect/>
                    </a:stretch>
                  </pic:blipFill>
                  <pic:spPr bwMode="auto">
                    <a:xfrm>
                      <a:off x="0" y="0"/>
                      <a:ext cx="5762625" cy="23145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Catalogue des informations</w:t>
      </w:r>
    </w:p>
    <w:p>
      <w:pPr>
        <w:keepNext w:val="false"/>
      </w:pPr>
      <w:r>
        <w:t xml:space="preserve">Le catalogue contient les 105 champs acceptés par le moteur : 27 informations du parc et 78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Composer la requête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314575"/>
            <wp:effectExtent t="0" r="0" b="0" l="0"/>
            <wp:docPr id="15" name="atelier-catalogue" descr="Catalogue des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021" t="27222" r="2708" b="12593"/>
                    <a:stretch>
                      <a:fillRect/>
                    </a:stretch>
                  </pic:blipFill>
                  <pic:spPr bwMode="auto">
                    <a:xfrm>
                      <a:off x="0" y="0"/>
                      <a:ext cx="5762625" cy="23145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Catalogue des informations : champ sélectionné, usage, source et disponibilité ; données fictives</w:t>
      </w:r>
    </w:p>
    <w:p>
      <w:pPr>
        <w:pStyle w:val="Heading2"/>
        <w:keepNext/>
      </w:pPr>
      <w:r>
        <w:t xml:space="preserve">Exemple de requête réutilisable</w:t>
      </w:r>
    </w:p>
    <w:p>
      <w:pPr>
        <w:keepNext w:val="false"/>
      </w:pPr>
      <w:r>
        <w:t xml:space="preserve">Dans « Composer la requête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514350"/>
            <wp:effectExtent t="0" r="0" b="0" l="0"/>
            <wp:docPr id="16"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802" t="30484" r="36615" b="62661"/>
                    <a:stretch>
                      <a:fillRect/>
                    </a:stretch>
                  </pic:blipFill>
                  <pic:spPr bwMode="auto">
                    <a:xfrm>
                      <a:off x="0" y="0"/>
                      <a:ext cx="5762625" cy="51435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Revenez dans « Composer la requête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790575"/>
            <wp:effectExtent t="0" r="0" b="0" l="0"/>
            <wp:docPr id="17"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542" t="37500" r="41146" b="51481"/>
                    <a:stretch>
                      <a:fillRect/>
                    </a:stretch>
                  </pic:blipFill>
                  <pic:spPr bwMode="auto">
                    <a:xfrm>
                      <a:off x="0" y="0"/>
                      <a:ext cx="5762625" cy="790575"/>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Composer la requête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18"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Composer la requête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3962400" cy="1304925"/>
            <wp:effectExtent t="0" r="0" b="0" l="0"/>
            <wp:docPr id="19"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62187" t="21481" r="19844" b="67963"/>
                    <a:stretch>
                      <a:fillRect/>
                    </a:stretch>
                  </pic:blipFill>
                  <pic:spPr bwMode="auto">
                    <a:xfrm>
                      <a:off x="0" y="0"/>
                      <a:ext cx="3962400" cy="130492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Composer la requête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62125"/>
            <wp:effectExtent t="0" r="0" b="0" l="0"/>
            <wp:docPr id="20"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3646" t="48387" r="42760" b="30968"/>
                    <a:stretch>
                      <a:fillRect/>
                    </a:stretch>
                  </pic:blipFill>
                  <pic:spPr bwMode="auto">
                    <a:xfrm>
                      <a:off x="0" y="0"/>
                      <a:ext cx="5762625" cy="17621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2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Dans « Composer la requête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off"/>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Relever ce périmètre », dans l’aide du tableau de bord, demande un inventaire léger des comptes actifs de l’OU choisie ; cette commande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22"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3750" t="68306" r="53958" b="2580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9"/>
      <w:r>
        <w:t xml:space="preserve">9 Widgets fonctionnement et catalogue complet</w:t>
      </w:r>
      <w:bookmarkEnd w:id="9"/>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off"/>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5"/>
        <w:gridCol w:w="2093"/>
        <w:gridCol w:w="6150"/>
      </w:tblGrid>
      <w:tr>
        <w:trPr>
          <w:cantSplit/>
          <w:tblHeader/>
        </w:trPr>
        <w:tc>
          <w:tcPr>
            <w:tcW w:type="dxa" w:w="139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093"/>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615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Analyser la liste.</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off"/>
        </w:trPr>
        <w:tc>
          <w:tcPr>
            <w:tcW w:type="dxa" w:w="1395"/>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093"/>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615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23"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24"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off"/>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off"/>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off"/>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53"/>
        <w:gridCol w:w="2472"/>
        <w:gridCol w:w="5313"/>
      </w:tblGrid>
      <w:tr>
        <w:trPr>
          <w:cantSplit/>
          <w:tblHeader/>
        </w:trPr>
        <w:tc>
          <w:tcPr>
            <w:tcW w:type="dxa" w:w="185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72"/>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31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off"/>
        </w:trPr>
        <w:tc>
          <w:tcPr>
            <w:tcW w:type="dxa" w:w="1853"/>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72"/>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313"/>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off"/>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0"/>
      <w:r>
        <w:t xml:space="preserve">10 Requêtes WMI du catalogue</w:t>
      </w:r>
      <w:bookmarkEnd w:id="10"/>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off"/>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off"/>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off"/>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off"/>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off"/>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off"/>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off"/>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off"/>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off"/>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1"/>
      <w:r>
        <w:t xml:space="preserve">11 Tableau des logiciels</w:t>
      </w:r>
      <w:bookmarkEnd w:id="1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25"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2"/>
      <w:r>
        <w:t xml:space="preserve">12 Relations utilisateur et poste</w:t>
      </w:r>
      <w:bookmarkEnd w:id="12"/>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off"/>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off"/>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3"/>
      <w:r>
        <w:t xml:space="preserve">13 Comptes et droits</w:t>
      </w:r>
      <w:bookmarkEnd w:id="13"/>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26" name="connexion" descr="Fenêtre de connexion : Compte Windows, Mot de passe, Mémoriser uniquement l'identifiant, Se connecter et Utiliser mon compte Window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off"/>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off"/>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off"/>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4"/>
      <w:r>
        <w:t xml:space="preserve">14 Lecture seule démonstration et protection des écritures</w:t>
      </w:r>
      <w:bookmarkEnd w:id="14"/>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off"/>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5"/>
      <w:r>
        <w:t xml:space="preserve">15 Architecture</w:t>
      </w:r>
      <w:bookmarkEnd w:id="15"/>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off"/>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off"/>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off"/>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off"/>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6"/>
      <w:r>
        <w:t xml:space="preserve">16 Installation et mise à jour</w:t>
      </w:r>
      <w:bookmarkEnd w:id="16"/>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off"/>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off"/>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7"/>
      <w:r>
        <w:t xml:space="preserve">17 Réglages et configuration</w:t>
      </w:r>
      <w:bookmarkEnd w:id="17"/>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off"/>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contrôleur.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recherches, fiches et arbre.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off"/>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w:t>
      </w:r>
    </w:p>
    <w:p>
      <w:pPr>
        <w:pStyle w:val="Heading1"/>
        <w:keepNext/>
      </w:pPr>
      <w:bookmarkStart w:name="chapitre_18" w:id="18"/>
      <w:r>
        <w:t xml:space="preserve">18 Base autonome</w:t>
      </w:r>
      <w:bookmarkEnd w:id="18"/>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off"/>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off"/>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sauvegarder ou mesurer toute la base,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27"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28"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dépliez « Détails du stockage et de la synchronisation » pour relire le fichier local, le contrôleur et le repère de suivi.</w:t>
      </w:r>
    </w:p>
    <w:p>
      <w:pPr>
        <w:keepNext/>
        <w:spacing w:after="60" w:before="120"/>
        <w:jc w:val="center"/>
      </w:pPr>
      <w:r>
        <w:drawing>
          <wp:inline distT="0" distB="0" distL="0" distR="0">
            <wp:extent cx="5762625" cy="781050"/>
            <wp:effectExtent t="0" r="0" b="0" l="0"/>
            <wp:docPr id="29" name="base-details" descr="Copie locale : détails du stockage et de la synchronisation dépli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l="13542" t="37778" r="30208" b="48611"/>
                    <a:stretch>
                      <a:fillRect/>
                    </a:stretch>
                  </pic:blipFill>
                  <pic:spPr bwMode="auto">
                    <a:xfrm>
                      <a:off x="0" y="0"/>
                      <a:ext cx="5762625" cy="7810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Copie locale : détails du stockage et de la synchronisation dépliés ; données fictives</w:t>
      </w:r>
    </w:p>
    <w:p>
      <w:pPr>
        <w:pStyle w:val="Heading2"/>
        <w:keepNext/>
      </w:pPr>
      <w:r>
        <w:t xml:space="preserve">Suivre la progression et la fraîcheur</w:t>
      </w:r>
    </w:p>
    <w:p>
      <w:pPr>
        <w:keepNext w:val="false"/>
      </w:pPr>
      <w:r>
        <w:t xml:space="preserve">L’onglet « Mise à jour » regroupe la commande, « État de la copie locale »,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p>
      <w:pPr>
        <w:keepNext/>
        <w:spacing w:after="60" w:before="120"/>
        <w:jc w:val="center"/>
      </w:pPr>
      <w:r>
        <w:drawing>
          <wp:inline distT="0" distB="0" distL="0" distR="0">
            <wp:extent cx="5762625" cy="571500"/>
            <wp:effectExtent t="0" r="0" b="0" l="0"/>
            <wp:docPr id="30" name="base-progression" descr="Relecture de l’OU choisie : compteurs et phase de progression ; données fictives"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37778" r="2344" b="47407"/>
                    <a:stretch>
                      <a:fillRect/>
                    </a:stretch>
                  </pic:blipFill>
                  <pic:spPr bwMode="auto">
                    <a:xfrm>
                      <a:off x="0" y="0"/>
                      <a:ext cx="5762625" cy="571500"/>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Relecture de l’OU choisie : compteurs et phase de progression ; données fictives</w:t>
      </w: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off"/>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Dans Outils → Base autonome → Stockage, « Mesurer » compte les lignes et le volume de la base, en lecture seule.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t xml:space="preserve">Les reçus d’écriture et les autorisations d’intervention restent dans « Fiabilité », lorsque Domenia y conduit. Les opérations de stockage se consultent dans la Base autonome.</w:t>
      </w:r>
    </w:p>
    <w:p>
      <w:pPr>
        <w:keepNext/>
        <w:spacing w:after="60" w:before="120"/>
        <w:jc w:val="center"/>
      </w:pPr>
      <w:r>
        <w:drawing>
          <wp:inline distT="0" distB="0" distL="0" distR="0">
            <wp:extent cx="5762625" cy="3143250"/>
            <wp:effectExtent t="0" r="0" b="0" l="0"/>
            <wp:docPr id="31" name="base-stockage" descr="Stockage : sauvegardes et préparation d’une purge locale ; données fictives"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30. </w:t>
      </w:r>
      <w:r>
        <w:rPr>
          <w:color w:val="555555"/>
          <w:sz w:val="17"/>
          <w:szCs w:val="17"/>
        </w:rPr>
        <w:t xml:space="preserve">Stockage : sauvegardes et préparation d’une purge locale ; données fictives</w:t>
      </w:r>
    </w:p>
    <w:p>
      <w:pPr>
        <w:pStyle w:val="Heading1"/>
        <w:keepNext/>
      </w:pPr>
      <w:bookmarkStart w:name="chapitre_19" w:id="19"/>
      <w:r>
        <w:t xml:space="preserve">19 Règles de sécurité</w:t>
      </w:r>
      <w:bookmarkEnd w:id="19"/>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off"/>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20"/>
      <w:r>
        <w:t xml:space="preserve">20 Journaux et diagnostic</w:t>
      </w:r>
      <w:bookmarkEnd w:id="20"/>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off"/>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21"/>
      <w:r>
        <w:t xml:space="preserve">21 Contrôles et qualification</w:t>
      </w:r>
      <w:bookmarkEnd w:id="2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off"/>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22"/>
      <w:r>
        <w:t xml:space="preserve">22 Maintenance et sources</w:t>
      </w:r>
      <w:bookmarkEnd w:id="22"/>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off"/>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off"/>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23"/>
      <w:r>
        <w:t xml:space="preserve">23 Mots à connaître</w:t>
      </w:r>
      <w:bookmarkEnd w:id="23"/>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off"/>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f58045d3e1d819a6d8f435f5804017b6cec570b.png"/><Relationship Id="rId12" Type="http://schemas.openxmlformats.org/officeDocument/2006/relationships/image" Target="media/4c4c6dc3c4eff6664a3987af0b8452fd95f720ac.png"/><Relationship Id="rId13" Type="http://schemas.openxmlformats.org/officeDocument/2006/relationships/image" Target="media/59e81fee4c65e081db8b12496cad535e70410449.png"/><Relationship Id="rId14" Type="http://schemas.openxmlformats.org/officeDocument/2006/relationships/image" Target="media/097d612fed1da11d41ebe624c261bf2c9ce976cb.png"/><Relationship Id="rId15" Type="http://schemas.openxmlformats.org/officeDocument/2006/relationships/image" Target="media/ac2e1ce8f8628d81b518623b046e12135de86497.png"/><Relationship Id="rId16" Type="http://schemas.openxmlformats.org/officeDocument/2006/relationships/image" Target="media/57f0a2a49440146d2fade2bdf8da5a74a7134b12.png"/><Relationship Id="rId17" Type="http://schemas.openxmlformats.org/officeDocument/2006/relationships/image" Target="media/205441959fcf27a78d0e8feb6e7765f09ac2ed0c.png"/><Relationship Id="rId18" Type="http://schemas.openxmlformats.org/officeDocument/2006/relationships/image" Target="media/03ac7409c4f4731206f4b27369b4b887bdd8fc7c.png"/><Relationship Id="rId19" Type="http://schemas.openxmlformats.org/officeDocument/2006/relationships/image" Target="media/0995b11f0b68351b178929cc69cbfafb78ce82ac.png"/><Relationship Id="rId20" Type="http://schemas.openxmlformats.org/officeDocument/2006/relationships/image" Target="media/1f0d94ae83558430b8b8cdff682f6615d5e29de2.png"/><Relationship Id="rId21" Type="http://schemas.openxmlformats.org/officeDocument/2006/relationships/image" Target="media/239880d080efab70019545a4dfac01ad40752c21.png"/><Relationship Id="rId22" Type="http://schemas.openxmlformats.org/officeDocument/2006/relationships/image" Target="media/36aa92373d5b3e8e06d117a8a88f7af7fe12f383.png"/><Relationship Id="rId23" Type="http://schemas.openxmlformats.org/officeDocument/2006/relationships/image" Target="media/9b0936ae1ccc95b644020dfc6d365459d02c3e35.png"/><Relationship Id="rId24" Type="http://schemas.openxmlformats.org/officeDocument/2006/relationships/image" Target="media/c7a36bbbaf03ad5776e172b9f49e16239ad8a2ba.png"/><Relationship Id="rId25" Type="http://schemas.openxmlformats.org/officeDocument/2006/relationships/image" Target="media/bf3f4bbdb648df080a999ce0da5c8cf8ee50fa63.png"/><Relationship Id="rId26" Type="http://schemas.openxmlformats.org/officeDocument/2006/relationships/image" Target="media/77739aab9cfbdcf60a412b3f11c11616dbee7585.png"/><Relationship Id="rId27" Type="http://schemas.openxmlformats.org/officeDocument/2006/relationships/image" Target="media/0c68dcb6d0017ca3dbabb5b76fcc3e31ba014f99.png"/><Relationship Id="rId28" Type="http://schemas.openxmlformats.org/officeDocument/2006/relationships/image" Target="media/bfa37371267f227ad66028c88d6e018408ea4e6f.png"/><Relationship Id="rId29" Type="http://schemas.openxmlformats.org/officeDocument/2006/relationships/image" Target="media/abd0e1a1069935e2b6224be0982bedfb29315be3.png"/><Relationship Id="rId30" Type="http://schemas.openxmlformats.org/officeDocument/2006/relationships/image" Target="media/0ef204985c5ce4ee65e66b9de8148b57aa330a84.png"/><Relationship Id="rId31" Type="http://schemas.openxmlformats.org/officeDocument/2006/relationships/image" Target="media/23cbd3f9e1680e50e27ae2be4ffdc9474ed96a52.png"/><Relationship Id="rId32" Type="http://schemas.openxmlformats.org/officeDocument/2006/relationships/image" Target="media/942ed0adf6f5c5275a043856df54b6ccac4a9a8a.png"/><Relationship Id="rId33" Type="http://schemas.openxmlformats.org/officeDocument/2006/relationships/image" Target="media/ee6da33a1ad96d23b6c415ea3e1bbd36649b0e0f.png"/><Relationship Id="rId34" Type="http://schemas.openxmlformats.org/officeDocument/2006/relationships/image" Target="media/8d1869808bc13433079629fb0b3925f8e8155e1c.png"/><Relationship Id="rId35" Type="http://schemas.openxmlformats.org/officeDocument/2006/relationships/image" Target="media/fbdf81a86244d563fca8640aa033c7b393a8f6f3.png"/><Relationship Id="rId36" Type="http://schemas.openxmlformats.org/officeDocument/2006/relationships/image" Target="media/9f73c5399c365d95a61981d1d12f3fdc3d3f6e8f.png"/><Relationship Id="rId37" Type="http://schemas.openxmlformats.org/officeDocument/2006/relationships/image" Target="media/370ed25ca0cfed0d19ed3467d727f9ce706658c4.png"/><Relationship Id="rId38" Type="http://schemas.openxmlformats.org/officeDocument/2006/relationships/image" Target="media/57271edf2a6f7c8528de1a432e373b3d0ef207e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2026-10-12T22:24:30.065Z</dcterms:created>
  <dcterms:modified xsi:type="dcterms:W3CDTF">2026-10-12T22:24:30.066Z</dcterms:modified>
</cp:coreProperties>
</file>

<file path=docProps/custom.xml><?xml version="1.0" encoding="utf-8"?>
<Properties xmlns="http://schemas.openxmlformats.org/officeDocument/2006/custom-properties" xmlns:vt="http://schemas.openxmlformats.org/officeDocument/2006/docPropsVTypes"/>
</file>