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actualisation AD et ping/WMI des OU, fraîcheur,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2"/>
      <w:r>
        <w:t xml:space="preserve">2 Démarrage rapide</w:t>
      </w:r>
      <w:bookmarkEnd w:id="2"/>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3"/>
      <w:r>
        <w:t xml:space="preserve">3 Rechercher fonctionnement et règles</w:t>
      </w:r>
      <w:bookmarkEnd w:id="3"/>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7"/>
        <w:gridCol w:w="7551"/>
      </w:tblGrid>
      <w:tr>
        <w:trPr>
          <w:cantSplit/>
          <w:tblHeader/>
        </w:trPr>
        <w:tc>
          <w:tcPr>
            <w:tcW w:type="dxa" w:w="2087"/>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551"/>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Base locale, Postes (ping/WMI) et Les deux actualisent toute l’OU choisie et ses sous-OU.</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pPr>
        <w:pStyle w:val="Heading2"/>
        <w:keepNext/>
      </w:pPr>
      <w:r>
        <w:t xml:space="preserve">Recherche globale</w:t>
      </w:r>
    </w:p>
    <w:p>
      <w:pPr>
        <w:keepNext w:val="false"/>
      </w:pPr>
      <w:r>
        <w:t xml:space="preserve">La barre du haut cherche dans tout le domaine, tous types d'objets, sans filtre d'OU, de présence ni de liste. Entrée ou le bouton « Rechercher » la lancent. Aucun poste n'est sondé avant une sélection.</w:t>
      </w:r>
    </w:p>
    <w:p>
      <w:pPr>
        <w:pStyle w:val="ListParagraph"/>
        <w:numPr>
          <w:ilvl w:val="0"/>
          <w:numId w:val="2"/>
        </w:numPr>
      </w:pPr>
      <w:r>
        <w:t xml:space="preserve">Minimum de caractères : Browser.GlobalSearchMinChars (2). En dessous, Domenia affiche « Saisis au moins » suivi du minimum et de « caracteres, ou * pour un apercu. ».</w:t>
      </w:r>
    </w:p>
    <w:p>
      <w:pPr>
        <w:pStyle w:val="ListParagraph"/>
        <w:numPr>
          <w:ilvl w:val="0"/>
          <w:numId w:val="2"/>
        </w:numPr>
      </w:pPr>
      <w:r>
        <w:t xml:space="preserve">Limite : celle du champ « Limite » (100 par défaut), retenue d'une session à l'autre dans la préférence SearchLimit. « Charger la suite » relit la même recherche avec une limite doublée, jusqu'à 20 000 lignes.</w:t>
      </w:r>
    </w:p>
    <w:p>
      <w:pPr>
        <w:pStyle w:val="ListParagraph"/>
        <w:numPr>
          <w:ilvl w:val="0"/>
          <w:numId w:val="2"/>
        </w:numPr>
      </w:pPr>
      <w:r>
        <w:t xml:space="preserve">Délais LDAP : Browser.SearchServerTimeLimitSeconds (8 s, côté contrôleur) et Browser.SearchClientTimeoutSeconds (12 s, côté poste). Async.SearchTimeoutSeconds borne la recherche globale à 45 s par défaut.</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Le badge orange « Dernière requête AD : délai dépassé » signale une requête trop longue, sans établir une panne réseau. Affinez la recherche et consultez le journal. « AD injoignable » en rouge correspond à une erreur réseau. La prochaine lecture AD réussie rétablit le badge normal.</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77"/>
        <w:gridCol w:w="3812"/>
        <w:gridCol w:w="4849"/>
      </w:tblGrid>
      <w:tr>
        <w:trPr>
          <w:cantSplit/>
          <w:tblHeader/>
        </w:trPr>
        <w:tc>
          <w:tcPr>
            <w:tcW w:type="dxa" w:w="977"/>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812"/>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4849"/>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Utilisateurs, Machines, Groupes, OU et conteneurs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Grisé pendant une recherche globale.</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Tous, En ligne, Sans réponse au ping, Non vérifié, Erreur de ping</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Limite</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off"/>
        </w:trPr>
        <w:tc>
          <w:tcPr>
            <w:tcW w:type="dxa" w:w="977"/>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812"/>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4849"/>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 Dans les résultats » filtre les objets déjà chargés, sans appel AD ni changement de limite LDAP. Le compteur rapporte les lignes visibles aux objets chargés, pas au total du domaine. « Liste partielle » signale une lecture incomplète ou en erreur : même 746/746 ne certifie pas son exhaustivité.</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 poste lance un ping unique et, si « Utilisateur au clic » est cochée, la lecture de l'utilisateur console. L'état initial de la case vient de Streaming.VerifyUserOnSelection (vrai dans la configuration livrée). Deux lectures au plus tournent en même temps (Streaming.MaxUserProbes, borné de 1 à 3). « Revérifier ce poste » relance la même vérification sur le seul poste sélectionné.</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En ligne, Sans réponse au ping, Non vérifié, Erreur de ping, Vérification en cours, avec (cache) pour une observation ancienne.</w:t>
            </w:r>
          </w:p>
        </w:tc>
      </w:tr>
    </w:tbl>
    <w:p>
      <w:pPr>
        <w:spacing w:after="60"/>
      </w:pPr>
    </w:p>
    <w:p>
      <w:pPr>
        <w:pStyle w:val="Heading2"/>
        <w:keepNext/>
      </w:pPr>
      <w:r>
        <w:t xml:space="preserve">Pinger Détecter et Analyser la liste</w:t>
      </w:r>
    </w:p>
    <w:p>
      <w:pPr>
        <w:keepNext w:val="false"/>
      </w:pPr>
      <w:r>
        <w:t xml:space="preserve">Ces trois boutons agissent sur les seuls postes affichés, après tous les filtres : OU, recherche, présence et filtre local. Ils sont grisés si la liste ne contient aucun poste. L’Atelier de requêtes, ouvert par son icône depuis l’Accueil, propose également une collecte sur un périmètre explicite (chapitre 8).</w:t>
      </w:r>
    </w:p>
    <w:p>
      <w:pPr>
        <w:keepNext/>
        <w:spacing w:after="60" w:before="120"/>
        <w:jc w:val="center"/>
      </w:pPr>
      <w:r>
        <w:drawing>
          <wp:inline distT="0" distB="0" distL="0" distR="0">
            <wp:extent cx="5762625" cy="295275"/>
            <wp:effectExtent t="0" r="0" b="0" l="0"/>
            <wp:docPr id="2" name="recherche-actions" descr="Barre d'actions des résultats : case Utilisateur au clic, Revérifier ce poste, Pinger la liste, Détecter la liste, Analyser la liste et Arrêt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Barre d'actions des résultats : case Utilisateur au clic, Revérifier ce poste, Pinger la liste, Détecter la liste, Analyser la liste et Arrêter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39"/>
        <w:gridCol w:w="5111"/>
        <w:gridCol w:w="3388"/>
      </w:tblGrid>
      <w:tr>
        <w:trPr>
          <w:cantSplit/>
          <w:tblHeader/>
        </w:trPr>
        <w:tc>
          <w:tcPr>
            <w:tcW w:type="dxa" w:w="1139"/>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11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388"/>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Pinger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ICMP seul, de 1 à 8 postes en parallèle selon le réglage. Met à jour la présence réseau, sans lecture de session ni association.</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Pinger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Détecter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Verifier les sessions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Analyser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Comme « Détecter la liste », plus le relevé WMI léger (modèle, mémoire, disque C:, build, démarrage) et les requêtes WMI des widgets placés sur les tableaux du poste et du parc. Les résultats remplissent les tableaux de bord.</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 Analyser les postes affiches », nombre de postes et de requêtes, puis « Analyser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Arrêter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Arrête les nouvelles lectures ; les résultats déjà obtenus restent.</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Aucune.</w:t>
            </w:r>
          </w:p>
        </w:tc>
      </w:tr>
    </w:tbl>
    <w:p>
      <w:pPr>
        <w:spacing w:after="60"/>
      </w:pP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Une lecture de poste en échec ne l'arrête pas : elle compte dans les « lectures non confirmees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Actualiser les données de l’OU</w:t>
      </w:r>
    </w:p>
    <w:p>
      <w:pPr>
        <w:keepNext w:val="false"/>
      </w:pPr>
      <w:r>
        <w:t xml:space="preserve">Sous l’arbre de Rechercher, « Données de l’OU » reprend l’unité choisie dans cet arbre, même lorsque la liste montre une recherche globale. « Base locale », « Postes (ping/WMI) » et « Les deux » portent toujours sur cette OU et ses sous-OU. Les filtres, la limite de lignes et le réglage de profondeur de la liste ne changent pas leur cible. Le chemin annoncé fait foi ; sans OU explicite, aucune de ces actions ne démarre. Le chapitre 8 décrit leur enchaînement et les trois dates à distinguer.</w:t>
      </w:r>
    </w:p>
    <w:p>
      <w:pPr>
        <w:keepNext w:val="false"/>
      </w:pPr>
      <w:r>
        <w:t xml:space="preserve">Pinger, Détecter et Analyser la liste gardent leur cible propre : les postes affichés après filtrage. « Actualiser » dans les résultats relance leur lecture ; cette commande ne remplace pas une mise à jour de la base ou un relevé WMI de toute l’OU.</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off"/>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304800"/>
            <wp:effectExtent t="0" r="0" b="0" l="0"/>
            <wp:docPr id="3"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off"/>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28600"/>
            <wp:effectExtent t="0" r="0" b="0" l="0"/>
            <wp:docPr id="4" name="recherche-inconnus" descr="Sélection Inconnus dans Rechercher : les postes sans mesure exploitable restent consultabl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enregistre les lignes affichées, ou seulement les lignes sélectionnées. Le menu clic droit d'une ligne regroupe l'ouverture de la fiche, les outils du poste (sous-menus « Poste distant » et « Collecte »), « Analyser », « Copier », « Exporter la liste en CSV » et « Modifier ». Les entrées de « Modifier » sont des écritures : elles restent bloquées tant que la lecture seule est active (chapitre 14).</w:t>
      </w:r>
    </w:p>
    <w:p>
      <w:pPr>
        <w:pStyle w:val="Heading1"/>
        <w:keepNext/>
      </w:pPr>
      <w:bookmarkStart w:name="chapitre_4" w:id="4"/>
      <w:r>
        <w:t xml:space="preserve">4 Fiches des objets</w:t>
      </w:r>
      <w:bookmarkEnd w:id="4"/>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5"/>
      <w:r>
        <w:t xml:space="preserve">5 Outils du poste et compte des opérations poste</w:t>
      </w:r>
      <w:bookmarkEnd w:id="5"/>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Domenia ne change aucun réglage Windows du poste ni du poste d'administration.</w:t>
      </w:r>
    </w:p>
    <w:p>
      <w:pPr>
        <w:keepNext w:val="false"/>
      </w:pPr>
      <w:r>
        <w:t xml:space="preserve">Onglets, dans l'ordre : « Machine », « Tableau de bord », « Actions », « Sessions Windows », « Diagnostic », « Inventaire », « Logiciels », « WMI » (profil Expert) et « Secrets ».</w:t>
      </w:r>
    </w:p>
    <w:p>
      <w:pPr>
        <w:keepNext/>
        <w:spacing w:after="60" w:before="120"/>
        <w:jc w:val="center"/>
      </w:pPr>
      <w:r>
        <w:drawing>
          <wp:inline distT="0" distB="0" distL="0" distR="0">
            <wp:extent cx="5762625" cy="3238500"/>
            <wp:effectExtent t="0" r="0" b="0" l="0"/>
            <wp:docPr id="5" name="fiche-poste" descr="Onglet Machine de la page Poste : carte Fiche du poste avec le DNS, la présence, le système, l'utilisateur associé et sa sour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Onglet Machine de la page Poste : carte Fiche du poste avec le DNS, la présence, le système, l'utilisateur associé et sa source</w:t>
      </w:r>
    </w:p>
    <w:p>
      <w:pPr>
        <w:keepNext w:val="false"/>
      </w:pPr>
      <w:r>
        <w:t xml:space="preserve">L'onglet « Machine » lit le compte ordinateur dans AD. « Detecter l utilisateur » recherche le dernier utilisateur connu ; un lien déjà enregistré n'est pas remplacé.</w:t>
      </w:r>
    </w:p>
    <w:p>
      <w:pPr>
        <w:pStyle w:val="Heading2"/>
        <w:keepNext/>
      </w:pPr>
      <w:r>
        <w:t xml:space="preserve">Onglet Actions</w:t>
      </w:r>
    </w:p>
    <w:p>
      <w:pPr>
        <w:keepNext/>
        <w:spacing w:after="60" w:before="120"/>
        <w:jc w:val="center"/>
      </w:pPr>
      <w:r>
        <w:drawing>
          <wp:inline distT="0" distB="0" distL="0" distR="0">
            <wp:extent cx="5762625" cy="561975"/>
            <wp:effectExtent t="0" r="0" b="0" l="0"/>
            <wp:docPr id="6" name="actions-poste" descr="Actions du poste : état du compte, Ping, Bureau à distance, Ouvrir C$, consoles, journaux et services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7" name="actions-poste-avancees" descr="Autres actions : commande PowerShell, programme, stratégies et redémarrage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Autres actions : commande PowerShell, programme, stratégies et redémarrage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5494"/>
        <w:gridCol w:w="1831"/>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494"/>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1831"/>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Ping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Ping ICMP du poste ; résultat dans la barre d'état.</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Bureau à distance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Ouvrir C$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Gestion de l ordinateur », « Journaux », « Services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eventvwr.exe ou services.msc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Commande PowerShell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dans le presse-papiers ; aucun second interpréteur n'est lancé, pour limiter les faux positifs antivirus.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Exécuter un programme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un programme par une tâche planifiée unique, auto-supprimée.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Bloqué au clic.</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Actualiser les stratégies », « Redemarrer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GPUpdate ou redémarrage distant, après confirmation « Oui » ou « Non ».</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Activer », « Desactiver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Active ou désactive le compte ordinateur dans AD.</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Renommer dans AD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Renomme le compte ordinateur dans l'annuaire, pas Windows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Ajouter », « Retirer » (Groupe)</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Ajoute ou retire le poste d'un groupe.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bl>
    <w:p>
      <w:pPr>
        <w:spacing w:after="60"/>
      </w:pPr>
    </w:p>
    <w:p>
      <w:r>
        <w:rPr>
          <w:b/>
          <w:bCs/>
        </w:rPr>
        <w:t xml:space="preserve">À savoir. </w:t>
      </w:r>
      <w:r>
        <w:t xml:space="preserve">« Exécuter un programme » exige aussi, pour ce poste, l'autorisation de 5 minutes « Autoriser une intervention sur cette machine » (onglet « Fiabilité », chapitre 18). Sans elle, Domenia refuse : « Transport avec depot/service/tache non autorise pour cette cible (desactive par defaut). Autorisez-le explicitement dans Outils &gt; Fiabilite, puis relancez votre action. ».</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Sous les boutons, l'onglet rappelle : « Ouvrir C$ et les consoles utilisent le compte des operations poste : compte poste saisi dans Diagnostic, sinon compte admin distant, sinon compte de connexion. Le bureau a distance passe par Windows. »</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Il se règle dans l'onglet « Diagnostic » : « Compte poste », « Mot de passe », « Utiliser ce compte » et « Compte de connexion » (oublie le compte saisi).</w:t>
      </w:r>
    </w:p>
    <w:p>
      <w:pPr>
        <w:keepNext w:val="false"/>
      </w:pPr>
      <w:r>
        <w:t xml:space="preserve">Ordre de choix pour une opération sur un poste :</w:t>
      </w:r>
    </w:p>
    <w:p>
      <w:pPr>
        <w:ind w:left="340" w:hanging="340"/>
      </w:pPr>
      <w:r>
        <w:rPr>
          <w:b/>
          <w:bCs/>
        </w:rPr>
        <w:t xml:space="preserve">1. </w:t>
      </w:r>
      <w:r>
        <w:rPr>
          <w:b/>
          <w:bCs/>
        </w:rPr>
        <w:t xml:space="preserve">Compte poste saisi.</w:t>
      </w:r>
      <w:r>
        <w:t xml:space="preserve"> Celui de l'onglet « Diagnostic », en mémoire seulement.</w:t>
      </w:r>
    </w:p>
    <w:p>
      <w:pPr>
        <w:ind w:left="340" w:hanging="340"/>
      </w:pPr>
      <w:r>
        <w:rPr>
          <w:b/>
          <w:bCs/>
        </w:rPr>
        <w:t xml:space="preserve">2. </w:t>
      </w:r>
      <w:r>
        <w:rPr>
          <w:b/>
          <w:bCs/>
        </w:rPr>
        <w:t xml:space="preserve">Compte distant.</w:t>
      </w:r>
      <w:r>
        <w:t xml:space="preserve"> Celui de la zone « POSTES / WMI / DISTANT » de la page « Comptes » (chapitre 13).</w:t>
      </w:r>
    </w:p>
    <w:p>
      <w:pPr>
        <w:ind w:left="340" w:hanging="340"/>
      </w:pPr>
      <w:r>
        <w:rPr>
          <w:b/>
          <w:bCs/>
        </w:rPr>
        <w:t xml:space="preserve">3. </w:t>
      </w:r>
      <w:r>
        <w:rPr>
          <w:b/>
          <w:bCs/>
        </w:rPr>
        <w:t xml:space="preserve">Compte de connexion.</w:t>
      </w:r>
      <w:r>
        <w:t xml:space="preserve"> Le compte saisi dans la fenêtre de connexion de Domenia.</w:t>
      </w:r>
    </w:p>
    <w:p>
      <w:pPr>
        <w:ind w:left="340" w:hanging="340"/>
      </w:pPr>
      <w:r>
        <w:rPr>
          <w:b/>
          <w:bCs/>
        </w:rPr>
        <w:t xml:space="preserve">4. </w:t>
      </w:r>
      <w:r>
        <w:rPr>
          <w:b/>
          <w:bCs/>
        </w:rPr>
        <w:t xml:space="preserve">Session Windows.</w:t>
      </w:r>
      <w:r>
        <w:t xml:space="preserve"> La session qui exécute Domenia.</w:t>
      </w:r>
    </w:p>
    <w:p>
      <w:pPr>
        <w:keepNext w:val="false"/>
      </w:pPr>
      <w:r>
        <w:t xml:space="preserve">Le libellé sous les champs dit le compte en service : « Operations poste : compte saisi », « Operations poste : compte de connexion Domenia » ou « Operations poste : session Windows ».</w:t>
      </w:r>
    </w:p>
    <w:p>
      <w:pPr>
        <w:pStyle w:val="Heading2"/>
        <w:keepNext/>
      </w:pPr>
      <w:r>
        <w:t xml:space="preserve">Diagnostic sessions et secrets</w:t>
      </w:r>
    </w:p>
    <w:p>
      <w:pPr>
        <w:pStyle w:val="ListParagraph"/>
        <w:numPr>
          <w:ilvl w:val="0"/>
          <w:numId w:val="2"/>
        </w:numPr>
      </w:pPr>
      <w:r>
        <w:t xml:space="preserve">« Diagnostic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a la fois, affichee brievement, jamais journalisee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sur cette machine » (onglet « Fiabilité », chapitre 18) vaut 5 minutes pour la machine sélectionnée et ne couvre que les interventions : une lecture n'y bascule jamais seule. Quand CIM échoue, l'inventaire, la lecture des logiciels, l'explorateur WMI, le diagnostic et « Detecter l utilisateur » rendent un « non lu » et nomment la demande à faire, pour cette lecture seule : « Lire ce poste par tâche planifiée » (même onglet).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6"/>
      <w:r>
        <w:t xml:space="preserve">6 Inventaire du poste</w:t>
      </w:r>
      <w:bookmarkEnd w:id="6"/>
    </w:p>
    <w:p>
      <w:pPr>
        <w:keepNext w:val="false"/>
      </w:pPr>
      <w:r>
        <w:t xml:space="preserve">L'onglet « Inventaire » lit le poste par CIM, avec le compte des opérations poste, et ne modifie rien. Le même inventaire remplit l'onglet « Tableau de bord ».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Rapide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Complet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Detail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58"/>
        <w:gridCol w:w="5380"/>
      </w:tblGrid>
      <w:tr>
        <w:trPr>
          <w:cantSplit/>
          <w:tblHeader/>
        </w:trPr>
        <w:tc>
          <w:tcPr>
            <w:tcW w:type="dxa" w:w="425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8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Selectionne une machine avant de lancer l inventaire.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sur cette machine » (chapitre 5) ; jauges et graphiques restent vides. Vérifier CIM/DCOM sur le poste.</w:t>
            </w:r>
          </w:p>
        </w:tc>
      </w:tr>
    </w:tbl>
    <w:p>
      <w:pPr>
        <w:spacing w:after="60"/>
      </w:pPr>
    </w:p>
    <w:p>
      <w:pPr>
        <w:pStyle w:val="Heading1"/>
        <w:keepNext/>
      </w:pPr>
      <w:bookmarkStart w:name="chapitre_7" w:id="7"/>
      <w:r>
        <w:t xml:space="preserve">7 Tableau de bord du poste</w:t>
      </w:r>
      <w:bookmarkEnd w:id="7"/>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8" name="tableau-poste" descr="Tableau de bord du poste PC-COMPTA-014 : score État général, points d'attention, identité du poste, compte machine dans AD et ressources mesuré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2739"/>
        <w:gridCol w:w="5350"/>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2739"/>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35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correctifs, processus et evenements.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protection, correctifs et configuration.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etat », 60 et plus « A surveiller », en dessous « Degrade ».</w:t>
      </w:r>
    </w:p>
    <w:p>
      <w:pPr>
        <w:pStyle w:val="ListParagraph"/>
        <w:numPr>
          <w:ilvl w:val="0"/>
          <w:numId w:val="2"/>
        </w:numPr>
      </w:pPr>
      <w:r>
        <w:t xml:space="preserve">Exemples : un point à surveiller donne 90 « Bon etat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1"/>
        <w:keepNext/>
      </w:pPr>
      <w:bookmarkStart w:name="chapitre_8" w:id="8"/>
      <w:r>
        <w:t xml:space="preserve">8 Tableau de bord et Atelier de requêtes</w:t>
      </w:r>
      <w:bookmarkEnd w:id="8"/>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9"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Trois commandes pour actualiser l’OU</w:t>
      </w:r>
    </w:p>
    <w:p>
      <w:pPr>
        <w:keepNext w:val="false"/>
      </w:pPr>
      <w:r>
        <w:t xml:space="preserve">Accueil et Rechercher proposent les mêmes actions. Elles utilisent le choix d’OU de leur écran sans modifier les choix des autres pages. Chaque action couvre cette OU et ses sous-OU ; la profondeur et les filtres de la liste de Recherche restent inchangés. Une OU explicite est obligatoire : aucune expansion silencieuse à tout le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181"/>
        <w:gridCol w:w="4337"/>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3181"/>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w:t>
            </w:r>
          </w:p>
        </w:tc>
        <w:tc>
          <w:tcPr>
            <w:tcW w:type="dxa" w:w="4337"/>
            <w:shd w:fill="E3EDF9" w:color="auto" w:val="clear"/>
            <w:tcMar>
              <w:top w:type="dxa" w:w="95"/>
              <w:left w:type="dxa" w:w="120"/>
              <w:bottom w:type="dxa" w:w="95"/>
              <w:right w:type="dxa" w:w="120"/>
            </w:tcMar>
            <w:vAlign w:val="center"/>
          </w:tcPr>
          <w:p>
            <w:pPr>
              <w:spacing w:after="0"/>
            </w:pPr>
            <w:r>
              <w:rPr>
                <w:b/>
                <w:bCs/>
                <w:color w:val="000000"/>
                <w:sz w:val="19"/>
                <w:szCs w:val="19"/>
              </w:rPr>
              <w:t xml:space="preserve">Travail effectué</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Base locale</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Objets AD de l’OU et de ses sous-OU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Lecture de l’annuaire puis enregistrement local. Une lecture complète rapproche les absences uniquement dans ce sous-arbre ; les autres branches sont conservées.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Postes (ping/WMI)</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Ping, console, inventaire léger et sondes WMI des widgets Général/Poste forcés, après confirmation du nombre de cibles.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Les deux</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Branche AD, puis comptes ordinateur actifs du recensement obtenu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Même mise à jour de la base, puis même relevé des postes après confirmation du stockage réussi.</w:t>
            </w:r>
          </w:p>
        </w:tc>
      </w:tr>
    </w:tbl>
    <w:p>
      <w:pPr>
        <w:spacing w:after="60"/>
      </w:pPr>
    </w:p>
    <w:p>
      <w:pPr>
        <w:keepNext w:val="false"/>
      </w:pPr>
      <w:r>
        <w:t xml:space="preserve">Le relevé des postes ignore les filtres et limites de résultats. Il conserve le parallélisme borné configuré pour la collecte, mais relit les mesures demandées au lieu de les réutiliser à cause de leur âge. Les sondes des widgets configurés sur les tableaux Général et Poste sont dédoublonnées ; leur plan est fixé au clic initial, avant la phase AD et la confirmation. Modifier un widget pendant la passe ne change pas les lectures déjà préparées. Les comptes désactivés restent consultables et ne sont pas sondés. Si le recensement est ancien ou incomplet, « Les deux » permet de le relire avant de préparer les cibles.</w:t>
      </w:r>
    </w:p>
    <w:p>
      <w:pPr>
        <w:keepNext w:val="false"/>
      </w:pPr>
      <w:r>
        <w:t xml:space="preserve">L’enchaînement de « Les deux » attend le reçu d’enregistrement complet de sa propre lecture AD. Un résultat LDAP reçu ne suffit pas. Une passe partielle, un échec de stockage, un arrêt ou un changement de session, de base ou d’OU cible empêche le lancement de la phase suivante. Une nouvelle tentative d’enregistrement automatique ne doit pas relancer la collecte annulée. Les données déjà validées restent conservées ; un échec de mesure conserve les dernières valeurs réussies et leur date, avec un état d’échec distinct.</w:t>
      </w:r>
    </w:p>
    <w:p>
      <w:pPr>
        <w:keepNext w:val="false"/>
      </w:pPr>
      <w:r>
        <w:t xml:space="preserve">« Arrêter » coupe les nouveaux départs et l’enchaînement. La progression distingue la lecture AD, l’enregistrement et le relevé des postes. Relisez son bilan et les erreurs par poste avant de conclure que toute la branche est à jour.</w:t>
      </w:r>
    </w:p>
    <w:p>
      <w:pPr>
        <w:keepNext w:val="false"/>
      </w:pPr>
      <w:r>
        <w:t xml:space="preserve">Le bouton « Recalculer la vue » prépare uniquement l’affichage depuis les données locales. Il ne contacte ni AD ni les postes et ne modifie aucune date de lecture.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28"/>
        <w:gridCol w:w="3277"/>
        <w:gridCol w:w="4433"/>
      </w:tblGrid>
      <w:tr>
        <w:trPr>
          <w:cantSplit/>
          <w:tblHeader/>
        </w:trPr>
        <w:tc>
          <w:tcPr>
            <w:tcW w:type="dxa" w:w="1928"/>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33"/>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Base locale », « Les deux » ou « Mettre à jour lʼOU choisie » dans Base autonome.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Postes (ping/WMI) », « Les deux », collecte ciblée ou vérification du poste.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Postes (ping/WMI) », « Les deux » ou analyse ciblée.</w:t>
            </w:r>
          </w:p>
        </w:tc>
      </w:tr>
      <w:tr>
        <w:trPr>
          <w:cantSplit/>
          <w:tblHeader w:val="off"/>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Postes (ping/WMI) pour les sondes des widgets configurés, ou collecte ciblée.</w:t>
            </w:r>
          </w:p>
        </w:tc>
      </w:tr>
    </w:tbl>
    <w:p>
      <w:pPr>
        <w:spacing w:after="60"/>
      </w:pPr>
    </w:p>
    <w:p>
      <w:pPr>
        <w:keepNext w:val="false"/>
      </w:pPr>
      <w:r>
        <w:t xml:space="preserve">Trois horloges restent distinctes : la dernière lecture complète AD couvrant l’OU, les dates réelles des mesures de chaque poste, et l’heure du calcul local de la vue. La date d’un calcul ou d’une mesure récente sur un seul poste ne décrit pas la fraîcheur de toute la branche. Une lecture AD partielle garde la date complète précédente et affiche séparément la tentative.</w:t>
      </w:r>
    </w:p>
    <w:p>
      <w:pPr>
        <w:keepNext w:val="false"/>
      </w:pPr>
      <w:r>
        <w:t xml:space="preserve">Le bandeau « Postes actifs : ping N/M (du… au…) · inventaire WMI N/M (du… au…) » rapporte les observations utilisables au nombre de comptes actifs recensés. Chaque intervalle va de la plus ancienne à la plus récente des mesures utilisables de cette famille. Une mesure absente, expirée ou sans date exploitable ne reçoit pas la date AD ou celle du ping en remplacement. Une profondeur de couverture non attestée ou une date future reste signalée au lieu de faire paraître la base récente.</w:t>
      </w:r>
    </w:p>
    <w:p>
      <w:pPr>
        <w:keepNext w:val="false"/>
      </w:pPr>
      <w:r>
        <w:t xml:space="preserve">Pour le ping, la date affichée correspond au relevé de présence qui comprend cette vérification. Le lecteur natif ne fournit pas d’horodatage séparé de la réponse ICMP ; cette date ne doit pas servir à mesurer cet instant précis.</w:t>
      </w: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depuis 90 j » porte sur les comptes actifs ayant une date connue âgée d'au moins 90 jours.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Résultats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0"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800100"/>
            <wp:effectExtent t="0" r="0" b="0" l="0"/>
            <wp:docPr id="1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Résultats » réserve la place au tableau et à la fiche locale ; « Composer la requête » regroupe les conditions, les sauvegardes, les sondes et les réglages de collecte. « Bibliothèque » présente les modèles et vos requêtes personnelles. « Catalogue des informations » aide à choisir un champ et à comprendre sa source.</w:t>
      </w:r>
    </w:p>
    <w:p>
      <w:pPr>
        <w:ind w:left="340" w:hanging="340"/>
      </w:pPr>
      <w:r>
        <w:rPr>
          <w:b/>
          <w:bCs/>
        </w:rPr>
        <w:t xml:space="preserve">1. </w:t>
      </w:r>
      <w:r>
        <w:rPr>
          <w:b/>
          <w:bCs/>
        </w:rPr>
        <w:t xml:space="preserve">Choisir une base.</w:t>
      </w:r>
      <w:r>
        <w:t xml:space="preserve"> Sélectionnez Tous les postes recensés ou un modèle adapté, puis « Charger ». « Nouvelle » prépare une requête vide. Ces deux commandes ouvrent « Composer la requête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Exécuter » pour afficher « Résultats ». Lisez le total, le périmètre et les données absentes avant d’examiner les pages.</w:t>
      </w:r>
    </w:p>
    <w:p>
      <w:pPr>
        <w:ind w:left="340" w:hanging="340"/>
      </w:pPr>
      <w:r>
        <w:rPr>
          <w:b/>
          <w:bCs/>
        </w:rPr>
        <w:t xml:space="preserve">5. </w:t>
      </w:r>
      <w:r>
        <w:rPr>
          <w:b/>
          <w:bCs/>
        </w:rPr>
        <w:t xml:space="preserve">Regrouper si utile.</w:t>
      </w:r>
      <w:r>
        <w:t xml:space="preserve"> Dans « Composer la requête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Composer la requête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enregistrées sont limitées à 100 recettes dans une enveloppe de 1 Mio ; les modèles livrés sont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2" name="atelier-requetes" descr="Atelier de requêtes : onglet Résultats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Résultats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1285875"/>
            <wp:effectExtent t="0" r="0" b="0" l="0"/>
            <wp:docPr id="13"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152 modèles livrés dans 14 catégories,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Composer la requête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105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4"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Catalogue des informations</w:t>
      </w:r>
    </w:p>
    <w:p>
      <w:pPr>
        <w:keepNext w:val="false"/>
      </w:pPr>
      <w:r>
        <w:t xml:space="preserve">Le catalogue contient les 105 champs acceptés par le moteur : 27 informations du parc et 78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Composer la requête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5" name="atelier-catalogue" descr="Catalogue des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Catalogue des informations : champ sélectionné, usage, source et disponibilité ; données fictives</w:t>
      </w:r>
    </w:p>
    <w:p>
      <w:pPr>
        <w:pStyle w:val="Heading2"/>
        <w:keepNext/>
      </w:pPr>
      <w:r>
        <w:t xml:space="preserve">Exemple de requête réutilisable</w:t>
      </w:r>
    </w:p>
    <w:p>
      <w:pPr>
        <w:keepNext w:val="false"/>
      </w:pPr>
      <w:r>
        <w:t xml:space="preserve">Dans « Composer la requête », choisissez l’espace libre du disque système en pourcentage, l’opérateur inférieur à et la valeur 20. Ajoutez la condition puis cliquez sur « Exécuter ». Les mesures absentes ne sont pas assimilées à zéro.</w:t>
      </w:r>
    </w:p>
    <w:p>
      <w:pPr>
        <w:keepNext/>
        <w:spacing w:after="60" w:before="120"/>
        <w:jc w:val="center"/>
      </w:pPr>
      <w:r>
        <w:drawing>
          <wp:inline distT="0" distB="0" distL="0" distR="0">
            <wp:extent cx="5762625" cy="381000"/>
            <wp:effectExtent t="0" r="0" b="0" l="0"/>
            <wp:docPr id="16"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Revenez dans « Composer la requête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123950"/>
            <wp:effectExtent t="0" r="0" b="0" l="0"/>
            <wp:docPr id="17"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Composer la requête », choisissez « Tableau de bord général » et une présentation (Indicateur, Texte, Barres, Camembert ou Colonnes),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866900"/>
            <wp:effectExtent t="0" r="0" b="0" l="0"/>
            <wp:docPr id="18"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Composer la requête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295275"/>
            <wp:effectExtent t="0" r="0" b="0" l="0"/>
            <wp:docPr id="19"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ouvre « Composer la requête » avec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Résultats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1724025"/>
            <wp:effectExtent t="0" r="0" b="0" l="0"/>
            <wp:docPr id="20"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924050"/>
            <wp:effectExtent t="0" r="0" b="0" l="0"/>
            <wp:docPr id="2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Les réglages ci-dessous concernent la collecte sélective d’une requête. Les commandes générales « Postes (ping/WMI) » et « Les deux » forcent le ping, la console, l’inventaire léger de l’OU et les sondes des widgets configurés sans leur appliquer cette réutilisation des mesures.</w:t>
      </w:r>
    </w:p>
    <w:p>
      <w:pPr>
        <w:keepNext w:val="false"/>
      </w:pPr>
      <w:r>
        <w:t xml:space="preserve">Dans « Composer la requête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Postes (ping/WMI) » relit le ping, la console et l’inventaire léger des comptes actifs de l’OU et de ses sous-OU, ainsi que les sondes des widgets configurés. Son plan est figé au clic et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676275"/>
            <wp:effectExtent t="0" r="0" b="0" l="0"/>
            <wp:docPr id="22"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9"/>
      <w:r>
        <w:t xml:space="preserve">9 Widgets fonctionnement et catalogue complet</w:t>
      </w:r>
      <w:bookmarkEnd w:id="9"/>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77"/>
        <w:gridCol w:w="2122"/>
        <w:gridCol w:w="5839"/>
      </w:tblGrid>
      <w:tr>
        <w:trPr>
          <w:cantSplit/>
          <w:tblHeader/>
        </w:trPr>
        <w:tc>
          <w:tcPr>
            <w:tcW w:type="dxa" w:w="167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122"/>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5839"/>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Analyser la liste.</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Recalculer la vue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parc.</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Relit les données locales et recalcule les widgets ; aucune nouvelle lecture AD, ping ou WMI.</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Base locale », « Postes (ping/WMI) », « Les deux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Tableau du parc ou Données de l’OU dans Rechercher.</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Actualisent la source choisie pour l’OU et ses sous-OU, selon le parcours du chapitre 8.</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Par defaut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livrée, sans confirmation mais annulable.</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off"/>
        </w:trPr>
        <w:tc>
          <w:tcPr>
            <w:tcW w:type="dxa" w:w="167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122"/>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5839"/>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23"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Les widgets sans donnée restent visibles en personnalisation (« Aucune donnee pour le moment »). Hors personnalisation, un widget intégré sans donnée est masqué.</w:t>
      </w:r>
    </w:p>
    <w:p>
      <w:pPr>
        <w:pStyle w:val="ListParagraph"/>
        <w:numPr>
          <w:ilvl w:val="0"/>
          <w:numId w:val="2"/>
        </w:numPr>
      </w:pPr>
      <w:r>
        <w:t xml:space="preserve">Le menu clic droit d'un widget, toujours disponible, propose « Modifier... », « Représentation », « Taille » (« Compacte », « Moyenne », « Large »), « Déplacer » et « Retirer du tableau de bord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24"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disque, utilisateur, BitLocker... ») et la liste des informations disponibles, groupée en « Tableau de bord » puis en « Requetes WMI » par catégorie. Le badge « affiche » marque ce qui est déjà sur le tableau.</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w:t>
      </w:r>
    </w:p>
    <w:p>
      <w:pPr>
        <w:pStyle w:val="ListParagraph"/>
        <w:numPr>
          <w:ilvl w:val="0"/>
          <w:numId w:val="2"/>
        </w:numPr>
      </w:pPr>
      <w:r>
        <w:t xml:space="preserve">À droite : « Titre », « Représentation »,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Sans donnée encore lue :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84"/>
        <w:gridCol w:w="5754"/>
      </w:tblGrid>
      <w:tr>
        <w:trPr>
          <w:cantSplit/>
          <w:tblHeader/>
        </w:trPr>
        <w:tc>
          <w:tcPr>
            <w:tcW w:type="dxa" w:w="3884"/>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754"/>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Score (Health)</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Score, Chiffre cle</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91"/>
        <w:gridCol w:w="2249"/>
        <w:gridCol w:w="2249"/>
        <w:gridCol w:w="2249"/>
      </w:tblGrid>
      <w:tr>
        <w:trPr>
          <w:cantSplit/>
          <w:tblHeader/>
        </w:trPr>
        <w:tc>
          <w:tcPr>
            <w:tcW w:type="dxa" w:w="2891"/>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Compacte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Moyenne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Large</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Chiffre cle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345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475 × 118</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420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560 × auto</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Anneau</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310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390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490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Barres, Histogramme, Courbe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320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440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600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Jauge, Score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660 × auto</w:t>
            </w:r>
          </w:p>
        </w:tc>
      </w:tr>
    </w:tbl>
    <w:p>
      <w:pPr>
        <w:spacing w:after="60"/>
      </w:pPr>
    </w:p>
    <w:p>
      <w:pPr>
        <w:keepNext w:val="false"/>
      </w:pPr>
      <w:r>
        <w:t xml:space="preserve">Dimensions en pixels, largeur × hauteur ; auto suit le contenu. Limites d'affichage : un anneau montre 8 parts au plus, les plus petites regroupées en « Autres » ; une liste montre 10 lignes, la liste de points 9.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livrée, c'est-à-dire tout le catalogue dans son ordre. Une liste vide enregistrée est un tableau vidé volontairement et reste vide.</w:t>
      </w:r>
    </w:p>
    <w:p>
      <w:pPr>
        <w:pStyle w:val="ListParagraph"/>
        <w:numPr>
          <w:ilvl w:val="0"/>
          <w:numId w:val="2"/>
        </w:numPr>
      </w:pPr>
      <w:r>
        <w:t xml:space="preserve">À la lecture, un widget inconnu du catalogue est écarté, les identifiants sont rendus uniques, représentation et taille sont corrigées.</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8"/>
        <w:gridCol w:w="2225"/>
        <w:gridCol w:w="1246"/>
        <w:gridCol w:w="4199"/>
      </w:tblGrid>
      <w:tr>
        <w:trPr>
          <w:cantSplit/>
          <w:tblHeader/>
        </w:trPr>
        <w:tc>
          <w:tcPr>
            <w:tcW w:type="dxa" w:w="1968"/>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225"/>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46"/>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19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Etat general</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Score calcule a partir des points d attention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Points d attention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Problemes detectes, du plus grave au moins grave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78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53"/>
        <w:gridCol w:w="2472"/>
        <w:gridCol w:w="5313"/>
      </w:tblGrid>
      <w:tr>
        <w:trPr>
          <w:cantSplit/>
          <w:tblHeader/>
        </w:trPr>
        <w:tc>
          <w:tcPr>
            <w:tcW w:type="dxa" w:w="185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472"/>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31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État du parc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01"/>
        <w:gridCol w:w="1328"/>
        <w:gridCol w:w="1328"/>
        <w:gridCol w:w="4581"/>
      </w:tblGrid>
      <w:tr>
        <w:trPr>
          <w:cantSplit/>
          <w:tblHeader/>
        </w:trPr>
        <w:tc>
          <w:tcPr>
            <w:tcW w:type="dxa" w:w="2401"/>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581"/>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0"/>
      <w:r>
        <w:t xml:space="preserve">10 Requêtes WMI du catalogue</w:t>
      </w:r>
      <w:bookmarkEnd w:id="10"/>
    </w:p>
    <w:p>
      <w:pPr>
        <w:keepNext w:val="false"/>
      </w:pPr>
      <w:r>
        <w:t xml:space="preserve">Le catalogue propose 78 sondes WMI en lecture seule, en 8 catégories. On les ajoute comme widgets aux tableaux du poste et du parc depuis l'éditeur. Elles partent après confirmation sur le périmètre annoncé : « Actualiser les requetes » sur le tableau du poste interroge le poste sélectionné ; « Analyser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Analyser la liste dans Rechercher. Les requêtes des widgets présents sont regroupées, sans doublon.</w:t>
      </w:r>
    </w:p>
    <w:p>
      <w:pPr>
        <w:ind w:left="340" w:hanging="340"/>
      </w:pPr>
      <w:r>
        <w:rPr>
          <w:b/>
          <w:bCs/>
        </w:rPr>
        <w:t xml:space="preserve">2. </w:t>
      </w:r>
      <w:r>
        <w:rPr>
          <w:b/>
          <w:bCs/>
        </w:rPr>
        <w:t xml:space="preserve">Confirmer.</w:t>
      </w:r>
      <w:r>
        <w:t xml:space="preserve"> Poste : confirmation « Sonder pour les widgets », bouton « Verifier les sessions ». Parc : confirmation « Analyser les postes affiches », bouton « Analyser ». Les deux donnent le nombre de postes et de requêtes ;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108"/>
        <w:gridCol w:w="4530"/>
      </w:tblGrid>
      <w:tr>
        <w:trPr>
          <w:cantSplit/>
          <w:tblHeader/>
        </w:trPr>
        <w:tc>
          <w:tcPr>
            <w:tcW w:type="dxa" w:w="510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53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Aucune requete WMI sur ce tableau de bord : ajoutez un widget de requete.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Ajouter un widget de requête avec « Ajouter un widget ».</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 poste selectionne.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La requête « Contrôle de compte (EnableLUA) » figure dans le code du catalogue mais en est retirée à la lecture : elle n'est pas proposée. Le catalogue exploitable compte 78 sondes.</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1"/>
      <w:r>
        <w:t xml:space="preserve">11 Tableau des logiciels</w:t>
      </w:r>
      <w:bookmarkEnd w:id="1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25"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2"/>
      <w:r>
        <w:t xml:space="preserve">12 Relations utilisateur et poste</w:t>
      </w:r>
      <w:bookmarkEnd w:id="12"/>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Détecter la liste » et « Analyser la liste » lisent l'utilisateur console ; l'association est actualisée si elle change.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releves » efface l'état du parc : le prochain relevé repart de zéro.</w:t>
      </w:r>
    </w:p>
    <w:p>
      <w:r>
        <w:rPr>
          <w:b/>
          <w:bCs/>
        </w:rPr>
        <w:t xml:space="preserve">À savoir. </w:t>
      </w:r>
      <w:r>
        <w:t xml:space="preserve">La case « Releve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3"/>
      <w:r>
        <w:t xml:space="preserve">13 Comptes et droits</w:t>
      </w:r>
      <w:bookmarkEnd w:id="13"/>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26" name="connexion" descr="Fenêtre de connexion : Compte Windows, Mot de passe, Mémoriser uniquement l'identifiant, Se connecter et Utiliser mon compte Window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Mémoriser uniquement l'identifiant, Se connecter et Utiliser mon compte Windows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Mémoriser uniquement l’identifiant » garde l'identifiant dans HKCU:\Software\DOMENIA (valeurs RememberLogin et LastLogin). Le mot de passe n'est jamais mémorisé.</w:t>
      </w:r>
    </w:p>
    <w:p>
      <w:pPr>
        <w:pStyle w:val="ListParagraph"/>
        <w:numPr>
          <w:ilvl w:val="0"/>
          <w:numId w:val="2"/>
        </w:numPr>
      </w:pPr>
      <w:r>
        <w:t xml:space="preserve">« Utiliser mon compte Windows » s'appuie sur la session Windows courante, sans mot de passe. Il n'apparaît que si Auth.AllowWindowsSession est vrai (défaut), et reste grisé hors d'une session de domaine.</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79"/>
        <w:gridCol w:w="2310"/>
        <w:gridCol w:w="3249"/>
      </w:tblGrid>
      <w:tr>
        <w:trPr>
          <w:cantSplit/>
          <w:tblHeader/>
        </w:trPr>
        <w:tc>
          <w:tcPr>
            <w:tcW w:type="dxa" w:w="4079"/>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231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3249"/>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les identifiants avant tout nouvel essai.</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Restriction AD.</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Lever la restriction ; ne pas multiplier les tentatives.</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 changer par Ctrl+Alt+Suppr, puis réessayer.</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Acces refuse par AD.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Lire le journal de connexion.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Delai depasse. La validation a ete arretee sans bloquer l interface.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Contrôleur injoignable ou lent.</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réseau, DNS ou VPN.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Défaut de Domenia, pas un mauvais mot de passe.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 Copier le diagnostic » et le journal de connexion.</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applique la règle affichée sous « Regle d execution » : « Annuaire : compte AD courant. Postes : compte distant s il existe, sinon compte AD. Secrets : compte secrets s il existe, sinon compte AD. Les trois scopes sont independants.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71"/>
        <w:gridCol w:w="4180"/>
        <w:gridCol w:w="3887"/>
      </w:tblGrid>
      <w:tr>
        <w:trPr>
          <w:cantSplit/>
          <w:tblHeader/>
        </w:trPr>
        <w:tc>
          <w:tcPr>
            <w:tcW w:type="dxa" w:w="157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180"/>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388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Changer de compte », « Tester la connexion », « Se connecter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des opérations poste saisi dans l'onglet « Diagnostic » d'un poste passe avant le compte « POSTES / WMI / DISTANT » (chapitre 5).</w:t>
      </w:r>
    </w:p>
    <w:p>
      <w:pPr>
        <w:pStyle w:val="ListParagraph"/>
        <w:numPr>
          <w:ilvl w:val="0"/>
          <w:numId w:val="2"/>
        </w:numPr>
      </w:pPr>
      <w:r>
        <w:t xml:space="preserve">Un compte temporaire accepté après un refus ne sert qu'à sa ressource et à son poste. Il est oublié après Security.AlternateCredentialIdleMinutes (30 min) sans usage, à la fin de la session ou sur demande.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autorise a lire LAPS et BitLocker dans Active Directory. »</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4"/>
      <w:r>
        <w:t xml:space="preserve">14 Lecture seule démonstration et protection des écritures</w:t>
      </w:r>
      <w:bookmarkEnd w:id="14"/>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et « Redemarrer » sont grisés, « Exécuter un programme » s'arrête au clic.</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Les reçus se consultent dans l'onglet « Fiabilité » (chapitre 18).</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affiche une trace technique de la connexion en direct (titre « Domenia 1.0  Connexion », bandeau « MODE DEBUG  diagnostic de connexion en direct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5"/>
      <w:r>
        <w:t xml:space="preserve">15 Architecture</w:t>
      </w:r>
      <w:bookmarkEnd w:id="15"/>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acces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6"/>
      <w:r>
        <w:t xml:space="preserve">16 Installation et mise à jour</w:t>
      </w:r>
      <w:bookmarkEnd w:id="16"/>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 « Aucun deblocage en masse effectue. ».</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precedent restaure. wad\data et les preferences conservees n ont pas ete modifies. ».</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7"/>
      <w:r>
        <w:t xml:space="preserve">17 Réglages et configuration</w:t>
      </w:r>
      <w:bookmarkEnd w:id="17"/>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777"/>
        <w:gridCol w:w="6861"/>
      </w:tblGrid>
      <w:tr>
        <w:trPr>
          <w:cantSplit/>
          <w:tblHeader/>
        </w:trPr>
        <w:tc>
          <w:tcPr>
            <w:tcW w:type="dxa" w:w="277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861"/>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Mémoriser uniquement l’identifiant ». Valeur du fichier remplacée par RememberLogin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Affiche « Utiliser mon compte Windows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Utilisateur au clic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recherches, fiches et 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Sauvegardes gardées (2 à 30).</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personnelles sauvegardées, dans la limite de 100 recettes et 1 Mio ;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8"/>
      <w:r>
        <w:t xml:space="preserve">18 Base autonome</w:t>
      </w:r>
      <w:bookmarkEnd w:id="18"/>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pour afficher le chemin exact et les commandes de sauvegarde. « Ouvrir l emplacement » ouvre l’Explorateur sur le fichier.</w:t>
      </w:r>
    </w:p>
    <w:p>
      <w:pPr>
        <w:pStyle w:val="Heading2"/>
        <w:keepNext/>
      </w:pPr>
      <w:r>
        <w:t xml:space="preserve">Mettre à jour la base</w:t>
      </w:r>
    </w:p>
    <w:p>
      <w:pPr>
        <w:keepNext w:val="false"/>
      </w:pPr>
      <w:r>
        <w:t xml:space="preserve">La même lecture AD peut être lancée avec « Base locale » depuis Accueil ou Rechercher pour l’OU annoncée sur cet écran. Elle ne relève ni le ping ni WMI. Dans Base autonome, 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sauvegarder ou mesurer toute la base, puis préparer une purge par catégories sur cette base.</w:t>
            </w:r>
          </w:p>
        </w:tc>
      </w:tr>
    </w:tbl>
    <w:p>
      <w:pPr>
        <w:spacing w:after="60"/>
      </w:pPr>
    </w:p>
    <w:p>
      <w:pPr>
        <w:keepNext/>
        <w:spacing w:after="60" w:before="120"/>
        <w:jc w:val="center"/>
      </w:pPr>
      <w:r>
        <w:drawing>
          <wp:inline distT="0" distB="0" distL="0" distR="0">
            <wp:extent cx="5762625" cy="1323975"/>
            <wp:effectExtent t="0" r="0" b="0" l="0"/>
            <wp:docPr id="27"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28"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dépliez « Détails du stockage et de la synchronisation » pour relire le fichier local, le contrôleur et le repère de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p>
      <w:pPr>
        <w:pStyle w:val="Heading2"/>
        <w:keepNext/>
      </w:pPr>
      <w:r>
        <w:t xml:space="preserve">Suivre la progression et la fraîcheur</w:t>
      </w:r>
    </w:p>
    <w:p>
      <w:pPr>
        <w:keepNext w:val="false"/>
      </w:pPr>
      <w:r>
        <w:t xml:space="preserve">L’onglet « Mise à jour » regroupe la commande, « État de la copie locale »,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AD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 Cette date ne décrit ni le ping ni WMI ; « Les deux » attend précisément ce stockage avant de préparer le relevé des postes.</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04"/>
        <w:gridCol w:w="2260"/>
        <w:gridCol w:w="5374"/>
      </w:tblGrid>
      <w:tr>
        <w:trPr>
          <w:cantSplit/>
          <w:tblHeader/>
        </w:trPr>
        <w:tc>
          <w:tcPr>
            <w:tcW w:type="dxa" w:w="2004"/>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60"/>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374"/>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LocalStore.DatabaseBackupCount (7) plus récentes sont gardées.</w:t>
      </w:r>
    </w:p>
    <w:p>
      <w:r>
        <w:rPr>
          <w:b/>
          <w:bCs/>
        </w:rPr>
        <w:t xml:space="preserve">Résultat attendu. </w:t>
      </w:r>
      <w:r>
        <w:t xml:space="preserve">« Sauvegarde de la base enregistree : » suivi du chemin. Sous l'encadré : « Sauvegardes : » avec le dossier et la date de la dernière.</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r>
        <w:rPr>
          <w:b/>
          <w:bCs/>
        </w:rPr>
        <w:t xml:space="preserve">Attention. </w:t>
      </w:r>
      <w:r>
        <w:t xml:space="preserve">Il n'existe pas de sauvegarde périodique automatique. Seule une migration de schéma déclenche une sauvegarde d'elle-même, dans Backups\migrations, hors rotation. Planifiez une sauvegarde manuelle régulière et gardez-en une copie hors du poste.</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pStyle w:val="Heading2"/>
        <w:keepNext/>
      </w:pPr>
      <w:r>
        <w:t xml:space="preserve">Restaurer une sauvegarde</w:t>
      </w:r>
    </w:p>
    <w:p>
      <w:pPr>
        <w:keepNext w:val="false"/>
      </w:pPr>
      <w:r>
        <w:t xml:space="preserve">Aucun outil de restauration n'est livré : la restauration est manuelle. Si la base est illisible, Domenia ne déplace et n'écrase rien ; il affiche « Le cache SQLite est illisible. Aucune base ni sauvegarde n'a ete deplacee ou ecrasee. » et demande de restaurer une sauvegarde vérifiée.</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pStyle w:val="Heading2"/>
        <w:keepNext/>
      </w:pPr>
      <w:r>
        <w:t xml:space="preserve">Mesure et purge</w:t>
      </w:r>
    </w:p>
    <w:p>
      <w:pPr>
        <w:keepNext w:val="false"/>
      </w:pPr>
      <w:r>
        <w:t xml:space="preserve">Dans Outils → Base autonome → Stockage, « Mesurer » compte les lignes et le volume de la base, en lecture seule.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t xml:space="preserve">Les reçus d’écriture et les autorisations d’intervention restent dans « Fiabilité », lorsque Domenia y conduit. Les opérations de stockage se consultent dans la Base autonome.</w:t>
      </w:r>
    </w:p>
    <w:p>
      <w:pPr>
        <w:keepNext/>
        <w:spacing w:after="60" w:before="120"/>
        <w:jc w:val="center"/>
      </w:pPr>
      <w:r>
        <w:drawing>
          <wp:inline distT="0" distB="0" distL="0" distR="0">
            <wp:extent cx="5762625" cy="3143250"/>
            <wp:effectExtent t="0" r="0" b="0" l="0"/>
            <wp:docPr id="29" name="base-stockage" descr="Stockage : sauvegardes et préparation d’une purge local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Stockage : sauvegardes et préparation d’une purge locale ; données fictives</w:t>
      </w:r>
    </w:p>
    <w:p>
      <w:pPr>
        <w:pStyle w:val="Heading1"/>
        <w:keepNext/>
      </w:pPr>
      <w:bookmarkStart w:name="chapitre_19" w:id="19"/>
      <w:r>
        <w:t xml:space="preserve">19 Règles de sécurité</w:t>
      </w:r>
      <w:bookmarkEnd w:id="19"/>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LAPS et BitLocker : une valeur à la fois, jamais journalisée ni mise en cache, presse-papiers vidé après 30 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pPr>
        <w:pStyle w:val="Heading1"/>
        <w:keepNext/>
      </w:pPr>
      <w:bookmarkStart w:name="chapitre_20" w:id="20"/>
      <w:r>
        <w:t xml:space="preserve">20 Journaux et diagnostic</w:t>
      </w:r>
      <w:bookmarkEnd w:id="20"/>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2790825"/>
            <wp:effectExtent t="0" r="0" b="0" l="0"/>
            <wp:docPr id="30" name="etat-moteur" descr="État du moteur : tâches, réactivité, durées des retours et sauvegarde locale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Verification rapide » contrôle la connexion et les composants ; « Verification complete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21"/>
      <w:r>
        <w:t xml:space="preserve">21 Contrôles et qualification</w:t>
      </w:r>
      <w:bookmarkEnd w:id="2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22"/>
      <w:r>
        <w:t xml:space="preserve">22 Maintenance et sources</w:t>
      </w:r>
      <w:bookmarkEnd w:id="22"/>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23"/>
      <w:r>
        <w:t xml:space="preserve">23 Mots à connaître</w:t>
      </w:r>
      <w:bookmarkEnd w:id="23"/>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2503e5f046bf64a9da8ac3f85b553b00bffd5466.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9f49bce122f81a01dbb4c07cf9cf181ab6270901.png"/><Relationship Id="rId18" Type="http://schemas.openxmlformats.org/officeDocument/2006/relationships/image" Target="media/d2b8c8b2f2752e24ef938350b6587f4ca417b2a8.png"/><Relationship Id="rId19" Type="http://schemas.openxmlformats.org/officeDocument/2006/relationships/image" Target="media/3509d931fca4f559539883f4eb37d2038802890f.png"/><Relationship Id="rId20" Type="http://schemas.openxmlformats.org/officeDocument/2006/relationships/image" Target="media/33f8c39747c1105a4c1481ecc380b4b753930ee1.png"/><Relationship Id="rId21" Type="http://schemas.openxmlformats.org/officeDocument/2006/relationships/image" Target="media/394d2714471bbedb8e0af72da85ca98bcb914b8d.png"/><Relationship Id="rId22" Type="http://schemas.openxmlformats.org/officeDocument/2006/relationships/image" Target="media/a4ccae26aec49f8d85815461a82dc92a1509deac.png"/><Relationship Id="rId23" Type="http://schemas.openxmlformats.org/officeDocument/2006/relationships/image" Target="media/4cdbf6a3625fdd3b30c932e9b4822439104295b1.png"/><Relationship Id="rId24" Type="http://schemas.openxmlformats.org/officeDocument/2006/relationships/image" Target="media/f232e0c36acce87e990c9b59404a18a1f33b01e1.png"/><Relationship Id="rId25" Type="http://schemas.openxmlformats.org/officeDocument/2006/relationships/image" Target="media/072c5543482521efab258bd2de67b62692381431.png"/><Relationship Id="rId26" Type="http://schemas.openxmlformats.org/officeDocument/2006/relationships/image" Target="media/bf3f4bbdb648df080a999ce0da5c8cf8ee50fa63.png"/><Relationship Id="rId27" Type="http://schemas.openxmlformats.org/officeDocument/2006/relationships/image" Target="media/c0dbe42ca64354c469a2eee57fc40ff068a549f1.png"/><Relationship Id="rId28" Type="http://schemas.openxmlformats.org/officeDocument/2006/relationships/image" Target="media/8b1271ce76a93060211f809a64ac8d4d55959da1.png"/><Relationship Id="rId29" Type="http://schemas.openxmlformats.org/officeDocument/2006/relationships/image" Target="media/458775f5263c55280647f2c2c64dbebfcdb7c506.png"/><Relationship Id="rId30" Type="http://schemas.openxmlformats.org/officeDocument/2006/relationships/image" Target="media/96e4220380b92d056d3a2bfba123c4fbd3f8d2ab.png"/><Relationship Id="rId31" Type="http://schemas.openxmlformats.org/officeDocument/2006/relationships/image" Target="media/bbfdefda83a41171ad1216f47895086d0acf621e.png"/><Relationship Id="rId32" Type="http://schemas.openxmlformats.org/officeDocument/2006/relationships/image" Target="media/31f60614d7ddb8eac0be3b594ae53e6f757b1835.png"/><Relationship Id="rId33" Type="http://schemas.openxmlformats.org/officeDocument/2006/relationships/image" Target="media/942ed0adf6f5c5275a043856df54b6ccac4a9a8a.png"/><Relationship Id="rId34" Type="http://schemas.openxmlformats.org/officeDocument/2006/relationships/image" Target="media/ee6da33a1ad96d23b6c415ea3e1bbd36649b0e0f.png"/><Relationship Id="rId35" Type="http://schemas.openxmlformats.org/officeDocument/2006/relationships/image" Target="media/defbad9027ae51bc7d755d565e005828c4bdf153.png"/><Relationship Id="rId36" Type="http://schemas.openxmlformats.org/officeDocument/2006/relationships/image" Target="media/b6fe5c5ce1cee7da54e760467863c32c8b43df98.png"/><Relationship Id="rId37" Type="http://schemas.openxmlformats.org/officeDocument/2006/relationships/image" Target="media/81d83b2778c9da5c11f38b98f873174e5c2d157d.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2026-10-13T13:18:58.151Z</dcterms:created>
  <dcterms:modified xsi:type="dcterms:W3CDTF">2026-10-13T13:18:58.152Z</dcterms:modified>
</cp:coreProperties>
</file>

<file path=docProps/custom.xml><?xml version="1.0" encoding="utf-8"?>
<Properties xmlns="http://schemas.openxmlformats.org/officeDocument/2006/custom-properties" xmlns:vt="http://schemas.openxmlformats.org/officeDocument/2006/docPropsVTypes"/>
</file>