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Saisir le compte.</w:t>
      </w:r>
      <w:r>
        <w:t xml:space="preserve"> Dans « Compte Windows », tapez votre compte du domaine (DOMAINE\identifiant ou identifiant@domaine), puis le « Mot de passe ».</w:t>
      </w:r>
    </w:p>
    <w:p>
      <w:pPr>
        <w:ind w:left="340" w:hanging="340"/>
      </w:pPr>
      <w:r>
        <w:rPr>
          <w:b/>
          <w:bCs/>
        </w:rPr>
        <w:t xml:space="preserve">3. </w:t>
      </w:r>
      <w:r>
        <w:rPr>
          <w:b/>
          <w:bCs/>
        </w:rPr>
        <w:t xml:space="preserve">Se connecter.</w:t>
      </w:r>
      <w:r>
        <w:t xml:space="preserve"> Cliquez sur « Se connecter » ou appuyez sur Entrée. Si votre session Windows est ouverte avec votre compte du domaine, cliquez plutôt sur « Utiliser mon compte Windows ».</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2" name="connexion" descr="Fenêtre « Connexion à Domenia » : compte, mot de passe, « Se connecter » et « Utiliser mon compte Windows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Utiliser mon compte Windows »</w:t>
      </w:r>
    </w:p>
    <w:p>
      <w:r>
        <w:rPr>
          <w:b/>
          <w:bCs/>
        </w:rPr>
        <w:t xml:space="preserve">À savoir. </w:t>
      </w:r>
      <w:r>
        <w:t xml:space="preserve">Cochez « Mémoriser uniquement l’identifiant » pour retrouver votre identifiant la fois suivante. Le mot de passe n'est jamais enregistré.</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Lire la liste.</w:t>
      </w:r>
      <w:r>
        <w:t xml:space="preserve"> Chaque ligne donne le « Type », le « Nom », l'« Utilisateur connecté (console) », l'« Association mémorisée » et la « Présence réseau ».</w:t>
      </w:r>
    </w:p>
    <w:p>
      <w:pPr>
        <w:ind w:left="340" w:hanging="340"/>
      </w:pPr>
      <w:r>
        <w:rPr>
          <w:b/>
          <w:bCs/>
        </w:rPr>
        <w:t xml:space="preserve">4. </w:t>
      </w:r>
      <w:r>
        <w:rPr>
          <w:b/>
          <w:bCs/>
        </w:rPr>
        <w:t xml:space="preserve">Affiner sans relancer.</w:t>
      </w:r>
      <w:r>
        <w:t xml:space="preserve"> Tapez quelques lettres dans « Dans les résultats » : seules les lignes qui les contiennent restent. « Effacer le filtre » réaffiche tout.</w:t>
      </w:r>
    </w:p>
    <w:p>
      <w:pPr>
        <w:ind w:left="340" w:hanging="340"/>
      </w:pPr>
      <w:r>
        <w:rPr>
          <w:b/>
          <w:bCs/>
        </w:rPr>
        <w:t xml:space="preserve">5.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6. </w:t>
      </w:r>
      <w:r>
        <w:rPr>
          <w:b/>
          <w:bCs/>
        </w:rPr>
        <w:t xml:space="preserve">Ouvrir la fiche.</w:t>
      </w:r>
      <w:r>
        <w:t xml:space="preserve"> Double-cliquez sur la ligne, ou appuyez sur Entrée. La page « Fiche » s'ouvre sur l'onglet « Resume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7"/>
        <w:gridCol w:w="7551"/>
      </w:tblGrid>
      <w:tr>
        <w:trPr>
          <w:cantSplit/>
          <w:tblHeader/>
        </w:trPr>
        <w:tc>
          <w:tcPr>
            <w:tcW w:type="dxa" w:w="2087"/>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551"/>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Base locale, Postes (ping/WMI) et Les deux actualisent toute l’OU choisie et ses sous-OU.</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off"/>
        </w:trPr>
        <w:tc>
          <w:tcPr>
            <w:tcW w:type="dxa" w:w="2087"/>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551"/>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associes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associe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 Type d’objet », choisissez par exemple « Machines ». Dans « Présence réseau », choisissez « En ligne » ou « Sans réponse au ping ».</w:t>
      </w:r>
    </w:p>
    <w:p>
      <w:pPr>
        <w:ind w:left="340" w:hanging="340"/>
      </w:pPr>
      <w:r>
        <w:rPr>
          <w:b/>
          <w:bCs/>
        </w:rPr>
        <w:t xml:space="preserve">4. </w:t>
      </w:r>
      <w:r>
        <w:rPr>
          <w:b/>
          <w:bCs/>
        </w:rPr>
        <w:t xml:space="preserve">Compléter la liste.</w:t>
      </w:r>
      <w:r>
        <w:t xml:space="preserve"> Si le compteur indique une liste limitée, cliquez sur « Charger la suite ».</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Base locale », « Postes (ping/WMI) » et « Les deux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304800"/>
            <wp:effectExtent t="0" r="0" b="0" l="0"/>
            <wp:docPr id="3"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28600"/>
            <wp:effectExtent t="0" r="0" b="0" l="0"/>
            <wp:docPr id="4"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Composer la requête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Base locale » ou « Les deux » dans « Données de l’OU ». Un inventaire ancien appelle « Postes (ping/WMI) ». Réexécuter une requête locale ne rajeunit aucune de ces données.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74"/>
        <w:gridCol w:w="5764"/>
      </w:tblGrid>
      <w:tr>
        <w:trPr>
          <w:cantSplit/>
          <w:tblHeader/>
        </w:trPr>
        <w:tc>
          <w:tcPr>
            <w:tcW w:type="dxa" w:w="387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76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Saisis au moins … caracteres, ou * pour un apercu.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Tapez au moins deux caractères.</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Aucun résultat affiché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off"/>
        </w:trPr>
        <w:tc>
          <w:tcPr>
            <w:tcW w:type="dxa" w:w="3874"/>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5764"/>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2"/>
      <w:r>
        <w:t xml:space="preserve">2 Ouvrir la fiche du poste et agir dessus</w:t>
      </w:r>
      <w:bookmarkEnd w:id="2"/>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la fiche.</w:t>
      </w:r>
      <w:r>
        <w:t xml:space="preserve"> L'onglet « Machine » affiche la carte « Fiche du poste » : « Nom », « DNS », « Presence », « OS », « Etat », « Derniere connexion » et « Utilisateur associe ».</w:t>
      </w:r>
    </w:p>
    <w:p>
      <w:pPr>
        <w:ind w:left="340" w:hanging="340"/>
      </w:pPr>
      <w:r>
        <w:rPr>
          <w:b/>
          <w:bCs/>
        </w:rPr>
        <w:t xml:space="preserve">4. </w:t>
      </w:r>
      <w:r>
        <w:rPr>
          <w:b/>
          <w:bCs/>
        </w:rPr>
        <w:t xml:space="preserve">Trouver l'utilisateur.</w:t>
      </w:r>
      <w:r>
        <w:t xml:space="preserve"> Cliquez sur « Detecter l utilisateur » pour chercher le dernier utilisateur connu du poste, puis sur « Ouvrir l utilisateur » pour ouvrir sa fiche.</w:t>
      </w:r>
    </w:p>
    <w:p>
      <w:pPr>
        <w:keepNext/>
        <w:spacing w:after="60" w:before="120"/>
        <w:jc w:val="center"/>
      </w:pPr>
      <w:r>
        <w:drawing>
          <wp:inline distT="0" distB="0" distL="0" distR="0">
            <wp:extent cx="5762625" cy="3238500"/>
            <wp:effectExtent t="0" r="0" b="0" l="0"/>
            <wp:docPr id="5" name="fiche-poste" descr="Onglet « Machine » de PC-COMPTA-014 : système, présence en ligne et utilisateur associé Camille Marti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Onglet « Machine » de PC-COMPTA-014 : système, présence en ligne et utilisateur associé Camille Martin</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l'onglet.</w:t>
      </w:r>
      <w:r>
        <w:t xml:space="preserve"> Cliquez sur l'onglet « Actions ». La carte « Actions sur le poste » regroupe les outils.</w:t>
      </w:r>
    </w:p>
    <w:p>
      <w:pPr>
        <w:ind w:left="340" w:hanging="340"/>
      </w:pPr>
      <w:r>
        <w:rPr>
          <w:b/>
          <w:bCs/>
        </w:rPr>
        <w:t xml:space="preserve">2. </w:t>
      </w:r>
      <w:r>
        <w:rPr>
          <w:b/>
          <w:bCs/>
        </w:rPr>
        <w:t xml:space="preserve">Tester le réseau.</w:t>
      </w:r>
      <w:r>
        <w:t xml:space="preserve"> Cliquez sur « Ping ». Le résultat (état, temps de réponse, adresse) s'inscrit dans le « Journal de session », en bas de la fenêtre.</w:t>
      </w:r>
    </w:p>
    <w:p>
      <w:pPr>
        <w:ind w:left="340" w:hanging="340"/>
      </w:pPr>
      <w:r>
        <w:rPr>
          <w:b/>
          <w:bCs/>
        </w:rPr>
        <w:t xml:space="preserve">3. </w:t>
      </w:r>
      <w:r>
        <w:rPr>
          <w:b/>
          <w:bCs/>
        </w:rPr>
        <w:t xml:space="preserve">Ouvrir le disque.</w:t>
      </w:r>
      <w:r>
        <w:t xml:space="preserve"> Cliquez sur « Ouvrir C$ ». L'Explorateur Windows s'ouvre sur le disque C du poste. Si vous vous êtes connecté avec un mot de passe, ou si vous avez saisi un compte pour les postes, le « Journal de session » indique le compte utilisé : « C$ de … ouvert avec … ».</w:t>
      </w:r>
    </w:p>
    <w:p>
      <w:pPr>
        <w:ind w:left="340" w:hanging="340"/>
      </w:pPr>
      <w:r>
        <w:rPr>
          <w:b/>
          <w:bCs/>
        </w:rPr>
        <w:t xml:space="preserve">4. </w:t>
      </w:r>
      <w:r>
        <w:rPr>
          <w:b/>
          <w:bCs/>
        </w:rPr>
        <w:t xml:space="preserve">Ouvrir une console.</w:t>
      </w:r>
      <w:r>
        <w:t xml:space="preserve"> Cliquez sur « Gestion de l ordinateur » ou sur « Journaux » : la console Windows s'ouvre sur ce poste. Si « Services » montre votre propre ordinateur, connectez la console au poste par son menu Action.</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Commande PowerShell » copie la commande de connexion à distance : collez-la dans votre console PowerShell.</w:t>
      </w:r>
    </w:p>
    <w:p>
      <w:pPr>
        <w:keepNext/>
        <w:spacing w:after="60" w:before="120"/>
        <w:jc w:val="center"/>
      </w:pPr>
      <w:r>
        <w:drawing>
          <wp:inline distT="0" distB="0" distL="0" distR="0">
            <wp:extent cx="5762625" cy="561975"/>
            <wp:effectExtent t="0" r="0" b="0" l="0"/>
            <wp:docPr id="6" name="actions-poste" descr="Actions du poste : état du compte, Ping, Bureau à distance, Ouvrir C$, consoles, journaux et services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7" name="actions-poste-avancees" descr="Autres actions : commande PowerShell, programme, stratégies et redémarrage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Autres actions : commande PowerShell, programme, stratégies et redémarrage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Redemarrer » ou « Renommer dans AD », restent bloquées en « Lecture seule ». Si votre intervention en a besoin, prévenez l'administrateur.</w:t>
      </w:r>
    </w:p>
    <w:p>
      <w:pPr>
        <w:pStyle w:val="Heading2"/>
        <w:keepNext/>
      </w:pPr>
      <w:r>
        <w:t xml:space="preserve">Utiliser le compte fourni pour les postes</w:t>
      </w:r>
    </w:p>
    <w:p>
      <w:pPr>
        <w:keepNext w:val="false"/>
      </w:pPr>
      <w:r>
        <w:t xml:space="preserve">Quand : l'administrateur vous a donné un compte réservé aux postes, ou « Ouvrir C$ » est refusé avec votre compte habituel.</w:t>
      </w:r>
    </w:p>
    <w:p>
      <w:pPr>
        <w:ind w:left="340" w:hanging="340"/>
      </w:pPr>
      <w:r>
        <w:rPr>
          <w:b/>
          <w:bCs/>
        </w:rPr>
        <w:t xml:space="preserve">1. </w:t>
      </w:r>
      <w:r>
        <w:rPr>
          <w:b/>
          <w:bCs/>
        </w:rPr>
        <w:t xml:space="preserve">Saisir le compte.</w:t>
      </w:r>
      <w:r>
        <w:t xml:space="preserve"> Dans l'onglet « Diagnostic », carte « Diagnostic du poste », remplissez « Compte poste » et « Mot de passe ».</w:t>
      </w:r>
    </w:p>
    <w:p>
      <w:pPr>
        <w:ind w:left="340" w:hanging="340"/>
      </w:pPr>
      <w:r>
        <w:rPr>
          <w:b/>
          <w:bCs/>
        </w:rPr>
        <w:t xml:space="preserve">2. </w:t>
      </w:r>
      <w:r>
        <w:rPr>
          <w:b/>
          <w:bCs/>
        </w:rPr>
        <w:t xml:space="preserve">Valider.</w:t>
      </w:r>
      <w:r>
        <w:t xml:space="preserve"> Cliquez sur « Utiliser ce compte ». La ligne sous les champs commence par « Operations poste : compte saisi ».</w:t>
      </w:r>
    </w:p>
    <w:p>
      <w:pPr>
        <w:ind w:left="340" w:hanging="340"/>
      </w:pPr>
      <w:r>
        <w:rPr>
          <w:b/>
          <w:bCs/>
        </w:rPr>
        <w:t xml:space="preserve">3. </w:t>
      </w:r>
      <w:r>
        <w:rPr>
          <w:b/>
          <w:bCs/>
        </w:rPr>
        <w:t xml:space="preserve">Relancer l'outil.</w:t>
      </w:r>
      <w:r>
        <w:t xml:space="preserve"> Revenez à l'onglet « Actions » et cliquez de nouveau sur l'outil voulu.</w:t>
      </w:r>
    </w:p>
    <w:p>
      <w:r>
        <w:rPr>
          <w:b/>
          <w:bCs/>
        </w:rPr>
        <w:t xml:space="preserve">Résultat attendu. </w:t>
      </w:r>
      <w:r>
        <w:t xml:space="preserve">« Ouvrir C$ » et les consoles utilisent ce compte, jamais enregistré sur le disque. «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l'onglet.</w:t>
      </w:r>
      <w:r>
        <w:t xml:space="preserve"> Cliquez sur l'onglet « Inventaire ». La carte « Inventaire du poste » s'affiche.</w:t>
      </w:r>
    </w:p>
    <w:p>
      <w:pPr>
        <w:ind w:left="340" w:hanging="340"/>
      </w:pPr>
      <w:r>
        <w:rPr>
          <w:b/>
          <w:bCs/>
        </w:rPr>
        <w:t xml:space="preserve">2. </w:t>
      </w:r>
      <w:r>
        <w:rPr>
          <w:b/>
          <w:bCs/>
        </w:rPr>
        <w:t xml:space="preserve">Choisir l'inventaire.</w:t>
      </w:r>
      <w:r>
        <w:t xml:space="preserve"> Cliquez sur « Rapide » (matériel, système, disques, réseau, sécurité, logiciels, services) ou sur « Complet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son chemin s'affiche dans une fenêtre et dans le « Journal de session » (« Inventaire exporte : … »). Le volet « Detail par source » indique ce qui a été lu ou refusé.</w:t>
      </w:r>
    </w:p>
    <w:p>
      <w:r>
        <w:rPr>
          <w:b/>
          <w:bCs/>
        </w:rPr>
        <w:t xml:space="preserve">Résultat attendu. </w:t>
      </w:r>
      <w:r>
        <w:t xml:space="preserve">L'inventaire est affiché, et l'onglet « Tableau de bord » se remplit avec les mêmes données (chapitre 3).</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C$ de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Ping ». Accès refusé : utilisez le compte fourni pour les postes. Sinon, prévenez l'administrateur.</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off"/>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Lancez « Ping ». Si le poste répond, prévenez l'administrateur (chapitre 8).</w:t>
            </w:r>
          </w:p>
        </w:tc>
      </w:tr>
    </w:tbl>
    <w:p>
      <w:pPr>
        <w:spacing w:after="60"/>
      </w:pPr>
    </w:p>
    <w:p>
      <w:pPr>
        <w:pStyle w:val="Heading1"/>
        <w:keepNext/>
      </w:pPr>
      <w:bookmarkStart w:name="chapitre_3" w:id="3"/>
      <w:r>
        <w:t xml:space="preserve">3 Lire le tableau de bord du poste</w:t>
      </w:r>
      <w:bookmarkEnd w:id="3"/>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l'onglet.</w:t>
      </w:r>
      <w:r>
        <w:t xml:space="preserve"> Dans « Poste », cliquez sur l'onglet « Tableau de bord ». La carte « Tableau de bord du poste » s'affiche.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de l'onglet « Inventaire » remplit aussi ce tableau.</w:t>
      </w:r>
    </w:p>
    <w:p>
      <w:pPr>
        <w:ind w:left="340" w:hanging="340"/>
      </w:pPr>
      <w:r>
        <w:rPr>
          <w:b/>
          <w:bCs/>
        </w:rPr>
        <w:t xml:space="preserve">3. </w:t>
      </w:r>
      <w:r>
        <w:rPr>
          <w:b/>
          <w:bCs/>
        </w:rPr>
        <w:t xml:space="preserve">Lire l'état général.</w:t>
      </w:r>
      <w:r>
        <w:t xml:space="preserve"> En haut, « Etat general » donne un score sur 100 et un verdict : « Bon etat », « A surveiller », « Degrade » ou « Critique ».</w:t>
      </w:r>
    </w:p>
    <w:p>
      <w:pPr>
        <w:ind w:left="340" w:hanging="340"/>
      </w:pPr>
      <w:r>
        <w:rPr>
          <w:b/>
          <w:bCs/>
        </w:rPr>
        <w:t xml:space="preserve">4. </w:t>
      </w:r>
      <w:r>
        <w:rPr>
          <w:b/>
          <w:bCs/>
        </w:rPr>
        <w:t xml:space="preserve">Lire les points d'attention.</w:t>
      </w:r>
      <w:r>
        <w:t xml:space="preserve"> « Points d attention » liste les problèmes trouvés, du plus grave au moins grave. « Rien a signaler »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8"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65"/>
        <w:gridCol w:w="7573"/>
      </w:tblGrid>
      <w:tr>
        <w:trPr>
          <w:cantSplit/>
          <w:tblHeader/>
        </w:trPr>
        <w:tc>
          <w:tcPr>
            <w:tcW w:type="dxa" w:w="2065"/>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7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Identite du poste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Système, modèle, mémoire, démarrage, utilisateur connecté, adresse IP.</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Mot de passe machine, dernière connexion au domaine, état du compte, LAPS.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Activite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off"/>
        </w:trPr>
        <w:tc>
          <w:tcPr>
            <w:tcW w:type="dxa" w:w="2065"/>
            <w:tcMar>
              <w:top w:type="dxa" w:w="95"/>
              <w:left w:type="dxa" w:w="120"/>
              <w:bottom w:type="dxa" w:w="95"/>
              <w:right w:type="dxa" w:w="120"/>
            </w:tcMar>
            <w:vAlign w:val="center"/>
          </w:tcPr>
          <w:p>
            <w:pPr>
              <w:spacing w:after="0"/>
            </w:pPr>
            <w:r>
              <w:rPr>
                <w:b w:val="false"/>
                <w:bCs w:val="false"/>
                <w:color w:val="000000"/>
                <w:sz w:val="19"/>
                <w:szCs w:val="19"/>
              </w:rPr>
              <w:t xml:space="preserve">« Securite et etat »</w:t>
            </w:r>
          </w:p>
        </w:tc>
        <w:tc>
          <w:tcPr>
            <w:tcW w:type="dxa" w:w="7573"/>
            <w:tcMar>
              <w:top w:type="dxa" w:w="95"/>
              <w:left w:type="dxa" w:w="120"/>
              <w:bottom w:type="dxa" w:w="95"/>
              <w:right w:type="dxa" w:w="120"/>
            </w:tcMar>
            <w:vAlign w:val="center"/>
          </w:tcPr>
          <w:p>
            <w:pPr>
              <w:spacing w:after="0"/>
            </w:pPr>
            <w:r>
              <w:rPr>
                <w:b w:val="false"/>
                <w:bCs w:val="false"/>
                <w:color w:val="000000"/>
                <w:sz w:val="19"/>
                <w:szCs w:val="19"/>
              </w:rPr>
              <w:t xml:space="preserve">Antivirus, pare-feu, BitLocker, mises à jour, redémarrage en attente, administrateurs locaux.</w:t>
            </w:r>
          </w:p>
        </w:tc>
      </w:tr>
    </w:tbl>
    <w:p>
      <w:pPr>
        <w:spacing w:after="60"/>
      </w:pP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68"/>
        <w:gridCol w:w="5570"/>
      </w:tblGrid>
      <w:tr>
        <w:trPr>
          <w:cantSplit/>
          <w:tblHeader/>
        </w:trPr>
        <w:tc>
          <w:tcPr>
            <w:tcW w:type="dxa" w:w="406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57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C$ », chapitre 2). Sinon, 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068"/>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570"/>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38"/>
        <w:gridCol w:w="6500"/>
      </w:tblGrid>
      <w:tr>
        <w:trPr>
          <w:cantSplit/>
          <w:tblHeader/>
        </w:trPr>
        <w:tc>
          <w:tcPr>
            <w:tcW w:type="dxa" w:w="313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50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Une section indique « Inventaire complet requis :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complet ».</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off"/>
        </w:trPr>
        <w:tc>
          <w:tcPr>
            <w:tcW w:type="dxa" w:w="3138"/>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500"/>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l’onglet « Inventaire » avec sa date ; relancez l’inventaire pour remplir le tableau du poste.</w:t>
            </w:r>
          </w:p>
        </w:tc>
      </w:tr>
    </w:tbl>
    <w:p>
      <w:pPr>
        <w:spacing w:after="60"/>
      </w:pPr>
    </w:p>
    <w:p>
      <w:pPr>
        <w:pStyle w:val="Heading1"/>
        <w:keepNext/>
      </w:pPr>
      <w:bookmarkStart w:name="chapitre_4" w:id="4"/>
      <w:r>
        <w:t xml:space="preserve">4 Savoir qui est connecté sur une liste de postes</w:t>
      </w:r>
      <w:bookmarkEnd w:id="4"/>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Dans les résultats » (chapitre 1). Seuls les postes affichés sont interrogés : une liste courte va plus vite.</w:t>
      </w:r>
    </w:p>
    <w:p>
      <w:pPr>
        <w:ind w:left="340" w:hanging="340"/>
      </w:pPr>
      <w:r>
        <w:rPr>
          <w:b/>
          <w:bCs/>
        </w:rPr>
        <w:t xml:space="preserve">2. </w:t>
      </w:r>
      <w:r>
        <w:rPr>
          <w:b/>
          <w:bCs/>
        </w:rPr>
        <w:t xml:space="preserve">Pinger la liste.</w:t>
      </w:r>
      <w:r>
        <w:t xml:space="preserve"> Pour savoir seulement quels postes répondent, cliquez sur « Pinger la liste ». La demande « Pinger les postes affiches » donne le nombre de postes. Cliquez sur « Pinger ».</w:t>
      </w:r>
    </w:p>
    <w:p>
      <w:pPr>
        <w:ind w:left="340" w:hanging="340"/>
      </w:pPr>
      <w:r>
        <w:rPr>
          <w:b/>
          <w:bCs/>
        </w:rPr>
        <w:t xml:space="preserve">3. </w:t>
      </w:r>
      <w:r>
        <w:rPr>
          <w:b/>
          <w:bCs/>
        </w:rPr>
        <w:t xml:space="preserve">Ou détecter les utilisateurs.</w:t>
      </w:r>
      <w:r>
        <w:t xml:space="preserve"> Pour savoir aussi qui est connecté, cliquez sur « Détecter la liste ». La demande « Detecter sur les resultats affiches » donne le nombre de postes. Cliquez sur « Verifier les sessions ».</w:t>
      </w:r>
    </w:p>
    <w:p>
      <w:pPr>
        <w:ind w:left="340" w:hanging="340"/>
      </w:pPr>
      <w:r>
        <w:rPr>
          <w:b/>
          <w:bCs/>
        </w:rPr>
        <w:t xml:space="preserve">4. </w:t>
      </w:r>
      <w:r>
        <w:rPr>
          <w:b/>
          <w:bCs/>
        </w:rPr>
        <w:t xml:space="preserve">Ou analyser les postes.</w:t>
      </w:r>
      <w:r>
        <w:t xml:space="preserve"> Pour connaître aussi leur matériel, cliquez sur « Analyser la liste ». La demande « Analyser les postes affiches » donne le nombre de postes. Cliquez sur « Analyser ». En plus de l'utilisateur, Domenia lit le modèle, la mémoire, le disque C:, la version de Windows et la date de démarrage de chaque poste.</w:t>
      </w:r>
    </w:p>
    <w:p>
      <w:pPr>
        <w:ind w:left="340" w:hanging="340"/>
      </w:pPr>
      <w:r>
        <w:rPr>
          <w:b/>
          <w:bCs/>
        </w:rPr>
        <w:t xml:space="preserve">5. </w:t>
      </w:r>
      <w:r>
        <w:rPr>
          <w:b/>
          <w:bCs/>
        </w:rPr>
        <w:t xml:space="preserve">Suivre l'avancement.</w:t>
      </w:r>
      <w:r>
        <w:t xml:space="preserve"> La ligne sous les boutons suit l'avancement, avec 1 à 8 postes en parallèle selon le réglage, jusqu'à « Ping termine » ou « Releve termine ».</w:t>
      </w:r>
    </w:p>
    <w:p>
      <w:pPr>
        <w:ind w:left="340" w:hanging="340"/>
      </w:pPr>
      <w:r>
        <w:rPr>
          <w:b/>
          <w:bCs/>
        </w:rPr>
        <w:t xml:space="preserve">6. </w:t>
      </w:r>
      <w:r>
        <w:rPr>
          <w:b/>
          <w:bCs/>
        </w:rPr>
        <w:t xml:space="preserve">Lire le résultat.</w:t>
      </w:r>
      <w:r>
        <w:t xml:space="preserve"> Après « Pinger la liste », seule « Présence réseau » est mise à jour ; après « Détecter la liste » ou « Analyser la liste », « Utilisateur connecté (console) » et « Vérification utilisateur » le sont aussi. Le matériel lu par « Analyser la liste » s'affiche dans la vue d'ensemble de l'Accueil (chapitre 5).</w:t>
      </w:r>
    </w:p>
    <w:p>
      <w:pPr>
        <w:ind w:left="340" w:hanging="340"/>
      </w:pPr>
      <w:r>
        <w:rPr>
          <w:b/>
          <w:bCs/>
        </w:rPr>
        <w:t xml:space="preserve">7. </w:t>
      </w:r>
      <w:r>
        <w:rPr>
          <w:b/>
          <w:bCs/>
        </w:rPr>
        <w:t xml:space="preserve">Arrêter si besoin.</w:t>
      </w:r>
      <w:r>
        <w:t xml:space="preserve"> Cliquez sur « Arrêter » : aucune nouvelle lecture ne démarre et les résultats déjà obtenus restent affichés.</w:t>
      </w:r>
    </w:p>
    <w:p>
      <w:pPr>
        <w:keepNext/>
        <w:spacing w:after="60" w:before="120"/>
        <w:jc w:val="center"/>
      </w:pPr>
      <w:r>
        <w:drawing>
          <wp:inline distT="0" distB="0" distL="0" distR="0">
            <wp:extent cx="5762625" cy="295275"/>
            <wp:effectExtent t="0" r="0" b="0" l="0"/>
            <wp:docPr id="9" name="recherche-actions" descr="Ligne d'actions sous les résultats : « Utilisateur au clic », « Revérifier ce poste », « Pinger la liste », « Détecter la liste », « Analyser la liste » et « Arrêter »"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Utilisateur au clic », « Revérifier ce poste », « Pinger la liste », « Détecter la liste », « Analyser la liste » et « Arrêter »</w:t>
      </w:r>
    </w:p>
    <w:p>
      <w:r>
        <w:rPr>
          <w:b/>
          <w:bCs/>
        </w:rPr>
        <w:t xml:space="preserve">Astuce. </w:t>
      </w:r>
      <w:r>
        <w:t xml:space="preserve">Pour un seul poste, cliquez sur sa ligne, ou sur « Revérifier ce poste » pour recommencer. Décochez « Utilisateur au clic » pour un ping seul.</w:t>
      </w:r>
    </w:p>
    <w:p>
      <w:r>
        <w:rPr>
          <w:b/>
          <w:bCs/>
        </w:rPr>
        <w:t xml:space="preserve">À savoir. </w:t>
      </w:r>
      <w:r>
        <w:t xml:space="preserve">Les sessions Bureau à distance ne sont pas recensées : utilisez l'onglet « Sessions Windows » de « Poste », bouton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04"/>
        <w:gridCol w:w="5534"/>
      </w:tblGrid>
      <w:tr>
        <w:trPr>
          <w:cantSplit/>
          <w:tblHeader/>
        </w:trPr>
        <w:tc>
          <w:tcPr>
            <w:tcW w:type="dxa" w:w="410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3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Pinger la liste », « Détecter la liste » et « Analyser la liste » sont grisés</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Affichez des postes, par exemple avec « Type d’objet » sur « Machines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Un releve est deja en cours.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Attendez la confirmation des enregistrements locaux avant un nouveau releve.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Releve impossible : Aucune base autonome active.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off"/>
        </w:trPr>
        <w:tc>
          <w:tcPr>
            <w:tcW w:type="dxa" w:w="4104"/>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534"/>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5"/>
      <w:r>
        <w:t xml:space="preserve">5 Voir et explorer le parc depuis Accueil</w:t>
      </w:r>
      <w:bookmarkEnd w:id="5"/>
    </w:p>
    <w:p>
      <w:pPr>
        <w:keepNext w:val="false"/>
      </w:pPr>
      <w:r>
        <w:t xml:space="preserve">L'Accueil présente les postes de la base locale et leurs derniers relevés. Son choix d'OU est indépendant de Rechercher : vous pouvez suivre un service dans le tableau de bord tout en cherchant un autre objet dans l'annuaire.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0"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Base locale</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inventaire.</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la présence et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Postes (ping/WMI)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Ping, utilisateur console, inventaire léger (modèle, mémoire, disque C:, version Windows, démarrage) et sondes des widgets configurés.</w:t>
            </w:r>
          </w:p>
        </w:tc>
      </w:tr>
      <w:tr>
        <w:trPr>
          <w:cantSplit/>
          <w:tblHeader w:val="off"/>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Actualiser le recensement puis l’état des postes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Les deux</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Lecture AD et stockage terminé, puis relevé des postes.</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Postes (ping/WMI) » interroge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Avec « Les deux », le relevé commence seulement après une lecture AD complète et son enregistrement confirmé. Une erreur, une lecture partielle ou une annulation empêche la phase suivante.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off"/>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Résultats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Composer la requête », ajoutez une condition, puis cliquez sur « Exécuter » pour revenir aux résultats. Le bouton « Retour » revient à l’écran précédent.</w:t>
      </w:r>
    </w:p>
    <w:p>
      <w:pPr>
        <w:keepNext/>
        <w:spacing w:after="60" w:before="120"/>
        <w:jc w:val="center"/>
      </w:pPr>
      <w:r>
        <w:drawing>
          <wp:inline distT="0" distB="0" distL="0" distR="0">
            <wp:extent cx="5762625" cy="800100"/>
            <wp:effectExtent t="0" r="0" b="0" l="0"/>
            <wp:docPr id="1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2"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Choisissez « Tous les postes recensés », cliquez sur « Charger », puis sur « Exécuter ».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Composer la requête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3" name="atelier-requetes" descr="Atelier de requêtes : onglet Résultats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Résultats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85875"/>
            <wp:effectExtent t="0" r="0" b="0" l="0"/>
            <wp:docPr id="14"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152 modèles livrés dans 14 catégories,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Composer la requête », puis cliquez sur « Exécuter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5"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Catalogue des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Composer la requête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6" name="atelier-catalogue" descr="Catalogue des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Catalogue des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Composer la requête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Exécuter » : l’onglet « Résultats » s’ouvre. Contrôlez le total et la date des mesures. Une valeur absente ne signifie pas que le disque est plein.</w:t>
      </w:r>
    </w:p>
    <w:p>
      <w:pPr>
        <w:keepNext/>
        <w:spacing w:after="60" w:before="120"/>
        <w:jc w:val="center"/>
      </w:pPr>
      <w:r>
        <w:drawing>
          <wp:inline distT="0" distB="0" distL="0" distR="0">
            <wp:extent cx="5762625" cy="381000"/>
            <wp:effectExtent t="0" r="0" b="0" l="0"/>
            <wp:docPr id="17"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Revenez dans « Composer la requête », donnez un nom explicite à la requête puis cliquez sur « Enregistrer ». Retrouvez-la dans la liste pour la réutiliser.</w:t>
      </w:r>
    </w:p>
    <w:p>
      <w:pPr>
        <w:keepNext/>
        <w:spacing w:after="60" w:before="120"/>
        <w:jc w:val="center"/>
      </w:pPr>
      <w:r>
        <w:drawing>
          <wp:inline distT="0" distB="0" distL="0" distR="0">
            <wp:extent cx="5762625" cy="1123950"/>
            <wp:effectExtent t="0" r="0" b="0" l="0"/>
            <wp:docPr id="18"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Composer la requête », choisissez la destination « Tableau de bord général », puis une présentation : Indicateur, Texte, Barres, Camembert ou Colonnes.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866900"/>
            <wp:effectExtent t="0" r="0" b="0" l="0"/>
            <wp:docPr id="19"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Composer la requête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295275"/>
            <wp:effectExtent t="0" r="0" b="0" l="0"/>
            <wp:docPr id="20"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Composer la requête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Résultats » de l’Atelier continue à afficher les postes de l’OU indiquée en haut ; elle ne se transforme pas en liste d’un seul poste.</w:t>
      </w:r>
    </w:p>
    <w:p>
      <w:pPr>
        <w:keepNext/>
        <w:spacing w:after="60" w:before="120"/>
        <w:jc w:val="center"/>
      </w:pPr>
      <w:r>
        <w:drawing>
          <wp:inline distT="0" distB="0" distL="0" distR="0">
            <wp:extent cx="5762625" cy="1724025"/>
            <wp:effectExtent t="0" r="0" b="0" l="0"/>
            <wp:docPr id="2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924050"/>
            <wp:effectExtent t="0" r="0" b="0" l="0"/>
            <wp:docPr id="22"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Postes (ping/WMI) » ; si le recensement doit aussi être relu, choisissez « Les deux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Composer la requête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676275"/>
            <wp:effectExtent t="0" r="0" b="0" l="0"/>
            <wp:docPr id="23"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La commande « Postes (ping/WMI) » de l’OU relit le ping,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Base locale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off"/>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323975"/>
            <wp:effectExtent t="0" r="0" b="0" l="0"/>
            <wp:docPr id="24"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25"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off"/>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off"/>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26"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le ping et l’inventaire léger de l’OU, utilisez « Postes (ping/WMI) ». Pour une sonde précise, collectez depuis l’Atelier. Un ping récent ne rafraîchit pas un ancien inventaire.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Base locale », « Postes (ping/WMI) » ou « Les deux » selon la source à relire.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Pinger, Détecter et Analyser la liste restent limités aux lignes affichées.</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off"/>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6"/>
      <w:r>
        <w:t xml:space="preserve">6 Personnaliser un tableau de bord</w:t>
      </w:r>
      <w:bookmarkEnd w:id="6"/>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cle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Hors personnalisation, un widget encore sans données reste masqué et la barre affiche « Widget enregistre : il s affichera des que ses donnees seront lues. ». « Annuler » ne change rien.</w:t>
      </w:r>
    </w:p>
    <w:p>
      <w:pPr>
        <w:keepNext/>
        <w:spacing w:after="60" w:before="120"/>
        <w:jc w:val="center"/>
      </w:pPr>
      <w:r>
        <w:drawing>
          <wp:inline distT="0" distB="0" distL="0" distR="0">
            <wp:extent cx="5762625" cy="4486275"/>
            <wp:effectExtent t="0" r="0" b="0" l="0"/>
            <wp:docPr id="27"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 Requetes WMI · »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28"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defaut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defaut ».</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off"/>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7"/>
      <w:r>
        <w:t xml:space="preserve">7 Consulter les logiciels du poste</w:t>
      </w:r>
      <w:bookmarkEnd w:id="7"/>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dont le chemin s'affiche dans le « Journal de session » (« Logiciels exportes : … »).</w:t>
      </w:r>
    </w:p>
    <w:p>
      <w:pPr>
        <w:keepNext/>
        <w:spacing w:after="60" w:before="120"/>
        <w:jc w:val="center"/>
      </w:pPr>
      <w:r>
        <w:drawing>
          <wp:inline distT="0" distB="0" distL="0" distR="0">
            <wp:extent cx="5762625" cy="4686300"/>
            <wp:effectExtent t="0" r="0" b="0" l="0"/>
            <wp:docPr id="29"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64"/>
        <w:gridCol w:w="6174"/>
      </w:tblGrid>
      <w:tr>
        <w:trPr>
          <w:cantSplit/>
          <w:tblHeader/>
        </w:trPr>
        <w:tc>
          <w:tcPr>
            <w:tcW w:type="dxa" w:w="346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7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Selectionne un poste, puis charge la liste.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Ping ». S'il répond, prévenez l'administrateur.</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off"/>
        </w:trPr>
        <w:tc>
          <w:tcPr>
            <w:tcW w:type="dxa" w:w="3464"/>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174"/>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8"/>
      <w:r>
        <w:t xml:space="preserve">8 En cas de problème</w:t>
      </w:r>
      <w:bookmarkEnd w:id="8"/>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60"/>
        <w:gridCol w:w="5278"/>
      </w:tblGrid>
      <w:tr>
        <w:trPr>
          <w:cantSplit/>
          <w:tblHeader/>
        </w:trPr>
        <w:tc>
          <w:tcPr>
            <w:tcW w:type="dxa" w:w="436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27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Vérifiez avec « Ping » que le poste est allumé et sur le réseau.</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sur la ligne d'état, sous « Pinger la liste » et « Détecter la liste »</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Prévenez l'administrateur.</w:t>
            </w:r>
          </w:p>
        </w:tc>
      </w:tr>
      <w:tr>
        <w:trPr>
          <w:cantSplit/>
          <w:tblHeader w:val="off"/>
        </w:trPr>
        <w:tc>
          <w:tcPr>
            <w:tcW w:type="dxa" w:w="4360"/>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278"/>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2790825"/>
            <wp:effectExtent t="0" r="0" b="0" l="0"/>
            <wp:docPr id="30"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l'onglet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9"/>
      <w:r>
        <w:t xml:space="preserve">9 Repères</w:t>
      </w:r>
      <w:bookmarkEnd w:id="9"/>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Survolez un contrôle, ou passez dessus avec Tab, pour lire son rôle.</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off"/>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Ping ») avant d'ouvrir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0"/>
      <w:r>
        <w:t xml:space="preserve">10 Mots à connaître</w:t>
      </w:r>
      <w:bookmarkEnd w:id="10"/>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Base locale » la met à jour pour l’OU. Outils permet aussi de la parcourir et de la sauvegarder.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2ff81fd204d7b58c3c194dde8c9293c3ac96678.png"/><Relationship Id="rId12" Type="http://schemas.openxmlformats.org/officeDocument/2006/relationships/image" Target="media/ee6da33a1ad96d23b6c415ea3e1bbd36649b0e0f.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2503e5f046bf64a9da8ac3f85b553b00bffd5466.png"/><Relationship Id="rId18" Type="http://schemas.openxmlformats.org/officeDocument/2006/relationships/image" Target="media/9f49bce122f81a01dbb4c07cf9cf181ab6270901.png"/><Relationship Id="rId19" Type="http://schemas.openxmlformats.org/officeDocument/2006/relationships/image" Target="media/3509d931fca4f559539883f4eb37d2038802890f.png"/><Relationship Id="rId20" Type="http://schemas.openxmlformats.org/officeDocument/2006/relationships/image" Target="media/d2b8c8b2f2752e24ef938350b6587f4ca417b2a8.png"/><Relationship Id="rId21" Type="http://schemas.openxmlformats.org/officeDocument/2006/relationships/image" Target="media/33f8c39747c1105a4c1481ecc380b4b753930ee1.png"/><Relationship Id="rId22" Type="http://schemas.openxmlformats.org/officeDocument/2006/relationships/image" Target="media/394d2714471bbedb8e0af72da85ca98bcb914b8d.png"/><Relationship Id="rId23" Type="http://schemas.openxmlformats.org/officeDocument/2006/relationships/image" Target="media/a4ccae26aec49f8d85815461a82dc92a1509deac.png"/><Relationship Id="rId24" Type="http://schemas.openxmlformats.org/officeDocument/2006/relationships/image" Target="media/4cdbf6a3625fdd3b30c932e9b4822439104295b1.png"/><Relationship Id="rId25" Type="http://schemas.openxmlformats.org/officeDocument/2006/relationships/image" Target="media/f232e0c36acce87e990c9b59404a18a1f33b01e1.png"/><Relationship Id="rId26" Type="http://schemas.openxmlformats.org/officeDocument/2006/relationships/image" Target="media/072c5543482521efab258bd2de67b62692381431.png"/><Relationship Id="rId27" Type="http://schemas.openxmlformats.org/officeDocument/2006/relationships/image" Target="media/bf3f4bbdb648df080a999ce0da5c8cf8ee50fa63.png"/><Relationship Id="rId28" Type="http://schemas.openxmlformats.org/officeDocument/2006/relationships/image" Target="media/c0dbe42ca64354c469a2eee57fc40ff068a549f1.png"/><Relationship Id="rId29" Type="http://schemas.openxmlformats.org/officeDocument/2006/relationships/image" Target="media/8b1271ce76a93060211f809a64ac8d4d55959da1.png"/><Relationship Id="rId30" Type="http://schemas.openxmlformats.org/officeDocument/2006/relationships/image" Target="media/458775f5263c55280647f2c2c64dbebfcdb7c506.png"/><Relationship Id="rId31" Type="http://schemas.openxmlformats.org/officeDocument/2006/relationships/image" Target="media/96e4220380b92d056d3a2bfba123c4fbd3f8d2ab.png"/><Relationship Id="rId32" Type="http://schemas.openxmlformats.org/officeDocument/2006/relationships/image" Target="media/defbad9027ae51bc7d755d565e005828c4bdf153.png"/><Relationship Id="rId33" Type="http://schemas.openxmlformats.org/officeDocument/2006/relationships/image" Target="media/b6fe5c5ce1cee7da54e760467863c32c8b43df98.png"/><Relationship Id="rId34" Type="http://schemas.openxmlformats.org/officeDocument/2006/relationships/image" Target="media/81d83b2778c9da5c11f38b98f873174e5c2d157d.png"/><Relationship Id="rId35" Type="http://schemas.openxmlformats.org/officeDocument/2006/relationships/image" Target="media/31f60614d7ddb8eac0be3b594ae53e6f757b1835.png"/><Relationship Id="rId36" Type="http://schemas.openxmlformats.org/officeDocument/2006/relationships/image" Target="media/bbfdefda83a41171ad1216f47895086d0acf621e.png"/><Relationship Id="rId37" Type="http://schemas.openxmlformats.org/officeDocument/2006/relationships/image" Target="media/942ed0adf6f5c5275a043856df54b6ccac4a9a8a.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2026-10-13T12:08:33.382Z</dcterms:created>
  <dcterms:modified xsi:type="dcterms:W3CDTF">2026-10-13T12:08:33.383Z</dcterms:modified>
</cp:coreProperties>
</file>

<file path=docProps/custom.xml><?xml version="1.0" encoding="utf-8"?>
<Properties xmlns="http://schemas.openxmlformats.org/officeDocument/2006/custom-properties" xmlns:vt="http://schemas.openxmlformats.org/officeDocument/2006/docPropsVTypes"/>
</file>