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 · RC1.17.12</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1"/>
      <w:r>
        <w:t xml:space="preserve">2 Démarrage rapide</w:t>
      </w:r>
      <w:bookmarkEnd w:id="1"/>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1"/>
      <w:r>
        <w:t xml:space="preserve">3 Rechercher fonctionnement et règles</w:t>
      </w:r>
      <w:bookmarkEnd w:id="1"/>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3"/>
        <w:gridCol w:w="7675"/>
      </w:tblGrid>
      <w:tr>
        <w:trPr>
          <w:cantSplit/>
          <w:tblHeader/>
        </w:trPr>
        <w:tc>
          <w:tcPr>
            <w:tcW w:type="dxa" w:w="1963"/>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75"/>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de présence ni de liste. Deux puces sous la barre la précisent explicitement : « Partout » ou « Dans « Postes » » (l’OU choisie dans l’arbre, sous-OU incluses ; jamais la racine ni une OU d’un autre domaine), et « Tout », « Personnes », « Postes » ou « Groupes ». Le texte d’attente de la barre et le résumé au-dessus des résultats reprennent ces choix ; en recherche globale, les filtres propres à la liste d’une OU (type, présence) sont masqués. Entrée ou le bouton « Rechercher » la lancent ; changer une puce ne lit rien. Aucun poste n'est sondé avant une sélection.</w:t>
      </w:r>
    </w:p>
    <w:p>
      <w:pPr>
        <w:pStyle w:val="ListParagraph"/>
        <w:numPr>
          <w:ilvl w:val="0"/>
          <w:numId w:val="2"/>
        </w:numPr>
      </w:pPr>
      <w:r>
        <w:t xml:space="preserve">Minimum de caractères : Browser.GlobalSearchMinChars (2), étoiles non comptées. En dessous, Domenia affiche « Saisissez au moins N caractères… » (N : ce minimum) et nʼenvoie rien. Une saisie faite seulement dʼétoiles est refusée dans la barre du haut (« Saisissez au moins un caractère en plus de * ») ; dans une OU, elle liste lʼOU comme un simple parcours. Plusieurs étoiles consécutives sont fusionnées en une seule avant lʼenvoi du filtre LDAP.</w:t>
      </w:r>
    </w:p>
    <w:p>
      <w:pPr>
        <w:pStyle w:val="ListParagraph"/>
        <w:numPr>
          <w:ilvl w:val="0"/>
          <w:numId w:val="2"/>
        </w:numPr>
      </w:pPr>
      <w:r>
        <w:t xml:space="preserve">Limite : celle du champ « lignes max » (100 par défaut), retenue d'une session à l'autre dans la préférence SearchLimit. « Charger la suite » lit seulement les lignes suivantes de la même recherche (la liste double, jusqu'à 20 000 lignes) : l'annuaire reprend après le dernier nom lu, trié par nom, et les lignes déjà chargées ne sont ni relues ni affichées deux fois. « Charger jusqu'à 1 000 » (puis 5 000, puis 20 000) porte la liste à ce palier en un seul geste.</w:t>
      </w:r>
    </w:p>
    <w:p>
      <w:pPr>
        <w:pStyle w:val="ListParagraph"/>
        <w:numPr>
          <w:ilvl w:val="0"/>
          <w:numId w:val="2"/>
        </w:numPr>
      </w:pPr>
      <w:r>
        <w:t xml:space="preserve">Recherche globale : 120 s sans nouvel objet AD, 900 s au total ; annulation possible. Délais LDAP : 60/90 s, pages de 250 objets. Réglages et bornes au chapitre 17.</w:t>
      </w:r>
    </w:p>
    <w:p>
      <w:pPr>
        <w:pStyle w:val="ListParagraph"/>
        <w:numPr>
          <w:ilvl w:val="0"/>
          <w:numId w:val="2"/>
        </w:numPr>
      </w:pPr>
      <w:r>
        <w:t xml:space="preserve">Recherche « contient » : après une recherche globale complète de texte simple qui renvoie 5 noms ou moins, la puce « Chercher aussi les noms qui contiennent… » relance, au clic seulement, la même recherche avec chaque mot entouré d’étoiles sur name, displayName, sAMAccountName et dNSHostName (chaque mot doit figurer, quatre mots au plus). Ce filtre n’utilise pas d’index : l’annuaire parcourt tous les noms du périmètre, avec la même limite.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keepNext w:val="false"/>
      </w:pPr>
      <w:r>
        <w:t xml:space="preserve">La liste tient dans une seule carte : en tête, le chemin cliquable de l’OU (ou « Recherche dans l’annuaire » après la barre du haut) et le nombre de lignes affichées ; puis les filtres, les requêtes, le filtre de la liste et les résultats. « Actualiser » et « Exporter CSV » sont dans le menu « ⋯ » ; l’état de la sélection et celui de la liste partagent une seule ligne sous les actions.</w:t>
      </w:r>
    </w:p>
    <w:p>
      <w:pPr>
        <w:keepNext w:val="false"/>
      </w:pPr>
      <w:r>
        <w:t xml:space="preserve">Colonnes de la liste : six par défaut (Type, Nom, Utilisateur connecté, Association mémorisée, Présence réseau, État). L’association, sa qualification et sa source (en infobulle) tiennent dans une seule colonne ; l’export CSV garde la valeur de l’association. Le choix fait par « Colonnes… » (clic droit sur un en-tête ou menu « ⋯ ») est une préférence du poste, Search.ResultColumnsJson (clés de colonnes seulement) ; largeur et position restent celles de la disposition enregistrée (GridLayoutsJson). Une préférence absente ou illisible revient aux six colonnes. Les colonnes propres aux postes, aux associations et aux comptes restent masquées quand la liste ne contient pas d’objet concerné.</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Le badge orange « Dernière requête AD : délai dépassé » signale une requête trop longue, sans établir une panne réseau. Affinez la recherche et consultez le journal. « AD injoignable » en rouge correspond à une erreur réseau. La prochaine lecture AD réussie rétablit le badge normal.</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884"/>
        <w:gridCol w:w="3727"/>
        <w:gridCol w:w="5027"/>
      </w:tblGrid>
      <w:tr>
        <w:trPr>
          <w:cantSplit/>
          <w:tblHeader/>
        </w:trPr>
        <w:tc>
          <w:tcPr>
            <w:tcW w:type="dxa" w:w="884"/>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727"/>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5027"/>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Tous les types, Utilisateurs, Machines, Groupes, OU et conteneurs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Propre à la liste d’une OU.</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Toute présence, En ligne, Sans réponse au ping, Non vérifié, Erreur de ping</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 ; repart sur « Toute présence » à chaque lancement.</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lignes max</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 Filtrer la liste » filtre les objets déjà chargés, y compris après une recherche globale, sans appel AD ni changement de limite LDAP ; chaque nouvelle recherche le remet à zéro. Le compteur rapporte les lignes visibles aux objets chargés, pas au total du domaine. « Liste partielle » signale une lecture incomplète ou en erreur : même 746/746 ne certifie pas son exhaustivité.</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une ligne précharge sa fiche AD sans contacter le poste tant que « Vérifier au clic » est décochée, ce qui est l'état livré. Cochée, un clic sur un poste envoie aussi un ping unique et, si « + utilisateur connecté » est cochée, lit l'utilisateur console. Les deux choix restent dans les préférences ; tant que « + utilisateur connecté » n'a jamais été changée, elle suit Streaming.VerifyUserOnSelection (vrai dans la configuration livrée). Deux lectures au plus tournent en même temps (Streaming.MaxUserProbes, borné de 1 à 3). « Revérifier ce poste » reste le geste manuel : ping et utilisateur console du seul poste sélectionné, case cochée ou non.</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Pastille et libellé court : En ligne, Sans réponse au ping, Non vérifié, Erreur de ping, Vérification en cours ; l'âge de la mesure s'affiche à côté (« il y a 2 h »). « relevé en cours… » marque un poste qu'un relevé de la liste doit encore lire.</w:t>
            </w:r>
          </w:p>
        </w:tc>
      </w:tr>
    </w:tbl>
    <w:p>
      <w:pPr>
        <w:spacing w:after="60"/>
      </w:pPr>
    </w:p>
    <w:p>
      <w:pPr>
        <w:pStyle w:val="Heading2"/>
        <w:keepNext/>
      </w:pPr>
      <w:r>
        <w:t xml:space="preserve">Vérifier la liste</w:t>
      </w:r>
    </w:p>
    <w:p>
      <w:pPr>
        <w:keepNext w:val="false"/>
      </w:pPr>
      <w:r>
        <w:t xml:space="preserve">« Vérifier la liste » agit sur les seuls postes affichés, après tous les filtres : OU, recherche, présence et filtre local. Le bouton est grisé si la liste ne contient aucun poste, et pour une vue de travail sur tout le domaine. Sa flèche ouvre trois vérifications graduées ; la dernière choisie devient l'action du bouton pour la session, sans être enregistrée. « Rechercher » reste le seul bouton principal de la page. L’Atelier de requêtes, ouvert par son icône depuis l’Accueil, propose également une collecte sur un périmètre explicite (chapitre 8).</w:t>
      </w:r>
    </w:p>
    <w:p>
      <w:pPr>
        <w:keepNext/>
        <w:spacing w:after="60" w:before="120"/>
        <w:jc w:val="center"/>
      </w:pPr>
      <w:r>
        <w:drawing>
          <wp:inline distT="0" distB="0" distL="0" distR="0">
            <wp:extent cx="5762625" cy="295275"/>
            <wp:effectExtent t="0" r="0" b="0" l="0"/>
            <wp:docPr id="1" name="recherche-actions" descr="Barre d'actions des résultats : Vérifier au clic, + utilisateur connecté, Revérifier ce poste et Vérifier la liste avec sa flèch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Vérifier au clic, + utilisateur connecté, Revérifier ce poste et Vérifier la liste avec sa flèche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11"/>
        <w:gridCol w:w="4645"/>
        <w:gridCol w:w="3782"/>
      </w:tblGrid>
      <w:tr>
        <w:trPr>
          <w:cantSplit/>
          <w:tblHeader/>
        </w:trPr>
        <w:tc>
          <w:tcPr>
            <w:tcW w:type="dxa" w:w="1211"/>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46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782"/>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répond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seul, échos envoyés en parallèle par lots de 32, une seconde d'attente par écho. Met à jour la présence réseau, sans lecture de session ni association.</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Trois lignes : postes visés, ce qui sera lu, durée estimée ; bouton « Pinger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est connecté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 bouton « Vérifier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Matériel et widgets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Comme « Qui est connecté ? », plus le relevé WMI léger (modèle, mémoire, disque C:, build, démarrage) et les requêtes WMI des widgets placés sur les tableaux du poste et du parc. Les résultats remplissent les tableaux de bord.</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avec le nombre de requêtes ; bouton « Analyser N postes ».</w:t>
            </w:r>
          </w:p>
        </w:tc>
      </w:tr>
    </w:tbl>
    <w:p>
      <w:pPr>
        <w:spacing w:after="60"/>
      </w:pPr>
    </w:p>
    <w:p>
      <w:pPr>
        <w:keepNext w:val="false"/>
      </w:pPr>
      <w:r>
        <w:t xml:space="preserve">La confirmation nomme la liste visée (« OU Postes, sous-OU », « recherche « PC » » ou « la sélection »), jamais le domaine : une liste filtrée de la racine du domaine reste « les résultats affichés ». Elle signale les lignes sans identifiant AD ignorées et, quand la liste a atteint sa limite de lignes, que les autres postes ne sont pas concernés. Un relevé est refusé au-delà de Park.MaxTargets postes (500 par défaut, 5 000 au plus), pour une liste de la racine du domaine sans autre filtre et pour une recherche globale sans terme : filtrez la liste ou choisissez une OU.</w:t>
      </w:r>
    </w:p>
    <w:p>
      <w:pPr>
        <w:keepNext w:val="false"/>
      </w:pPr>
      <w:r>
        <w:t xml:space="preserve">Pendant le relevé, le bouton devient « Arrêter (N/M) » (N postes lus sur M) ; une barre fine et un compteur court (« 12/48 · 9 joignables ») suivent l'avancement, et chaque poste encore à lire affiche « relevé en cours… » dans « Présence réseau ». Le détail complet part dans le journal à la fin du relevé. Après un ping, trois pastilles comptent à part « en ligne », « sans réponse » et « erreurs » (nom introuvable dans le DNS, échec réseau ou lecture interrompue) ; dans une liste d'OU, chaque pastille filtre la liste par présence et un second clic retire le filtre.</w:t>
      </w:r>
    </w:p>
    <w:p>
      <w:pPr>
        <w:keepNext w:val="false"/>
      </w:pPr>
      <w:r>
        <w:t xml:space="preserve">À partir de deux lignes sélectionnées, la ligne d'état devient une barre d'actions : « Pinger » et « Qui est connecté ? » visent les seuls postes sélectionnés, avec la même confirmation et le même plafond ; une sélection de toute la liste (Ctrl+A) suit les règles de la liste, donc la racine du domaine sans filtre et la recherche globale sans terme restent refusées ; « Copier » copie une ligne lisible par objet pour un ticket ; « Exporter » enregistre la sélection en CSV.</w:t>
      </w:r>
    </w:p>
    <w:p>
      <w:pPr>
        <w:keepNext w:val="false"/>
      </w:pPr>
      <w:r>
        <w:t xml:space="preserve">Le relevé de la liste et celui du poste ouvert dans « Poste » (« Actualiser les requetes » de son tableau) sont indépendants : chacun garde son état et son « Arrêter » à côté du bouton qui l'a lancé. Le bilan d'un relevé du poste ne s'affiche qu'à côté du tableau de ce poste. Un relevé lancé depuis le tableau du parc ou l'atelier de requêtes partage la portée de la liste : « Vérifier la liste » affiche son avancement (« Relevé de … ») et devient son « Arrêter » ; une actualisation d'OU s'arrête depuis ses propres boutons d'actualisation, et le compteur le rappelle.</w:t>
      </w: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Les échos déjà reçus que le stockage n'accepte plus comptent alors dans les « lectures non confirmées » et le relevé se termine ; les lots déjà confiés au stockage suspendu attendent la reprise dans « Fiabilité ». Une lecture de poste en échec ne l'arrête pas : elle compte dans les « lectures non confirmées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Objets AD », « Ping » et « WMI » portent toujours sur cette OU et ses sous-OU. Les filtres, la limite de lignes et le réglage de profondeur de la liste ne changent pas leur cible. Le chemin annoncé fait foi ; sans OU explicite, aucune de ces actions ne démarre. Le chapitre 8 décrit leur usage et les trois dates à distinguer.</w:t>
      </w:r>
    </w:p>
    <w:p>
      <w:pPr>
        <w:keepNext w:val="false"/>
      </w:pPr>
      <w:r>
        <w:t xml:space="preserve">Dans une petite fenêtre, le panneau sous l’arbre se compacte : le titre « Données de l’OU » se masque et les boutons se resserrent. Les commandes gardent le même périmètre et le même effet.</w:t>
      </w:r>
    </w:p>
    <w:p>
      <w:pPr>
        <w:keepNext w:val="false"/>
      </w:pPr>
      <w:r>
        <w:t xml:space="preserve">« Vérifier la liste » garde sa cible propre : les postes affichés après filtrage. « Actualiser », dans le menu « ⋯ » de la liste,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3048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28600"/>
            <wp:effectExtent t="0" r="0" b="0" l="0"/>
            <wp:docPr id="1"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dans le menu « ⋯ » de la liste (à droite de « Effacer »), enregistre les lignes affichées, ou seulement les lignes sélectionnées. Le menu clic droit d'une ligne est court et n'écrit rien : « Ouvrir la fiche », pour un poste « Assistance poste », « Revérifier ce poste » et « Rechercher l'utilisateur associé » (pour un utilisateur, « Rechercher le poste associé »), « Ouvrir l'OU parente », « Copier » (dont « Pour un ticket ») et « Exporter la liste affichée en CSV ». Les écritures, les outils distants et les collectes restent dans la fiche et dans Assistance poste, chacun avec sa confirmation. Un clic droit sur l'en-tête d'une colonne ouvre « Colonnes… ».</w:t>
      </w:r>
    </w:p>
    <w:p>
      <w:pPr>
        <w:pStyle w:val="Heading1"/>
        <w:keepNext/>
      </w:pPr>
      <w:bookmarkStart w:name="chapitre_4" w:id="1"/>
      <w:r>
        <w:t xml:space="preserve">4 Fiches des objets</w:t>
      </w:r>
      <w:bookmarkEnd w:id="1"/>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Appartenances et membres</w:t>
      </w:r>
    </w:p>
    <w:p>
      <w:pPr>
        <w:keepNext w:val="false"/>
      </w:pPr>
      <w:r>
        <w:t xml:space="preserve">L’onglet « Appartenances » et la liste des membres d’un groupe sont des tableaux lisibles : Nom, Type et OU (chemin « domaine / OU / sous-OU ») ; le DN complet est dans l’infobulle de la ligne. Un filtre local (« nom, OU… (sans requête AD) ») réduit la liste affichée et le compteur dit combien de lignes il garde. Pour les membres d’un groupe, le type vient de la copie locale (lecture SQLite en arrière-plan) ; un membre absent de la copie reste « Non lu », jamais deviné.</w:t>
      </w:r>
    </w:p>
    <w:p>
      <w:pPr>
        <w:keepNext w:val="false"/>
      </w:pPr>
      <w:r>
        <w:t xml:space="preserve">« Groupes imbriqués » lit, au clic seulement (opération GroupPathRead, lecture seule), les groupes dont les groupes de l’objet sont membres : 2 000 groupes, 16 niveaux et 10 secondes au plus, un groupe à la fois, jamais tout le domaine. Ils s’ajoutent au tableau avec l’appartenance « Imbriquée » et le groupe direct par lequel ils passent. Les groupes non lus sont comptés avec leur raison (refus, introuvable, autre domaine). Le clic droit « Pourquoi membre ? » explique une ligne : appartenance directe, ou chemin « Jean Dupont → GG-Lyon → GG-Compta ». Une lecture bornée ou incomplète ne conclut jamais à une absence ; le groupe principal (primaryGroupID) n’apparaît pas dans memberOf.</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1"/>
      <w:r>
        <w:t xml:space="preserve">5 Outils du poste et compte des opérations poste</w:t>
      </w:r>
      <w:bookmarkEnd w:id="1"/>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et se confirment dans la page. Domenia ne change aucun réglage Windows du poste ni du poste d'administration.</w:t>
      </w:r>
    </w:p>
    <w:p>
      <w:pPr>
        <w:keepNext w:val="false"/>
      </w:pPr>
      <w:r>
        <w:t xml:space="preserve">Un en-tête fixe reste au-dessus des vues : nom, système, pastille de présence (dernier test de la session, ou valeur reprise de la mémoire locale marquée « mémoire »), utilisateur associé (lien vers sa fiche), âge du dernier inventaire de la session, et trois boutons « Bureau à distance », « Ouvrir le disque C » et « Tester la réponse ». L'en-tête ne lit rien par lui-même : il reprend ce que la fiche, la présence et l'inventaire ont déjà lu.</w:t>
      </w:r>
    </w:p>
    <w:p>
      <w:pPr>
        <w:keepNext w:val="false"/>
      </w:pPr>
      <w:r>
        <w:t xml:space="preserve">Vues, dans l'ordre : « Vue d'ensemble » (fiche du poste et tableau de bord), « Intervenir » (actions en quatre cartes, sessions Windows, services), « Détails » (onglets « Inventaire » et « Logiciels »), « Diagnostic » (onglet « Contrôles », et « WMI » en profil Expert) et « Secrets ». Les anciens noms d'onglet utilisés par les menus, les liens des points d'attention et les raccourcis mènent à la vue qui les remplace.</w:t>
      </w:r>
    </w:p>
    <w:p>
      <w:pPr>
        <w:keepNext/>
        <w:spacing w:after="60" w:before="120"/>
        <w:jc w:val="center"/>
      </w:pPr>
      <w:r>
        <w:drawing>
          <wp:inline distT="0" distB="0" distL="0" distR="0">
            <wp:extent cx="5762625" cy="3238500"/>
            <wp:effectExtent t="0" r="0" b="0" l="0"/>
            <wp:docPr id="1" name="fiche-poste" descr="Vue « Vue d'ensemble » de la page Poste : en-tête du poste, puis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la page Poste : en-tête du poste, puis carte Fiche du poste avec le DNS, la présence, le système, l'utilisateur associé et sa source</w:t>
      </w:r>
    </w:p>
    <w:p>
      <w:pPr>
        <w:keepNext w:val="false"/>
      </w:pPr>
      <w:r>
        <w:t xml:space="preserve">« Vue d'ensemble » lit le compte ordinateur dans AD. La ligne « Utilisateur associé » résume l'association en mémoire locale avec son badge (Déclaré, Observé, Importé, Indice ou À vérifier) : nom lu dans le DN, origine et date locale, par exemple « Camille Martin · console observée le 08/10 à 08:15 ». « Détecter à nouveau » interroge le poste ; une association déjà enregistrée n'est pas remplacée.</w:t>
      </w:r>
    </w:p>
    <w:p>
      <w:pPr>
        <w:pStyle w:val="Heading2"/>
        <w:keepNext/>
      </w:pPr>
      <w:r>
        <w:t xml:space="preserve">Vue Intervenir</w:t>
      </w:r>
    </w:p>
    <w:p>
      <w:pPr>
        <w:keepNext/>
        <w:spacing w:after="60" w:before="120"/>
        <w:jc w:val="center"/>
      </w:pPr>
      <w:r>
        <w:drawing>
          <wp:inline distT="0" distB="0" distL="0" distR="0">
            <wp:extent cx="5762625" cy="561975"/>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52425"/>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22"/>
        <w:gridCol w:w="5527"/>
        <w:gridCol w:w="789"/>
      </w:tblGrid>
      <w:tr>
        <w:trPr>
          <w:cantSplit/>
          <w:tblHeader/>
        </w:trPr>
        <w:tc>
          <w:tcPr>
            <w:tcW w:type="dxa" w:w="3322"/>
            <w:shd w:fill="E3EDF9" w:color="auto" w:val="clear"/>
            <w:tcMar>
              <w:top w:type="dxa" w:w="95"/>
              <w:left w:type="dxa" w:w="120"/>
              <w:bottom w:type="dxa" w:w="95"/>
              <w:right w:type="dxa" w:w="120"/>
            </w:tcMar>
            <w:vAlign w:val="center"/>
          </w:tcPr>
          <w:p>
            <w:pPr>
              <w:spacing w:after="0"/>
            </w:pPr>
            <w:r>
              <w:rPr>
                <w:b/>
                <w:bCs/>
                <w:color w:val="000000"/>
                <w:sz w:val="19"/>
                <w:szCs w:val="19"/>
              </w:rPr>
              <w:t xml:space="preserve">Carte et bouton</w:t>
            </w:r>
          </w:p>
        </w:tc>
        <w:tc>
          <w:tcPr>
            <w:tcW w:type="dxa" w:w="552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789"/>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Bureau à distance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Ouvrir le disque 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Gestion de lʼordinateur », « Observateur dʼévénements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ou eventvwr.exe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Copier la commande PowerShell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et l'annonce dans la page. Avec un compte poste, la commande ajoute -Credential suivi du nom du compte ; le mot de passe n'est jamais copié.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Tester la réponse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Ping ICMP du poste ; met à jour la présence de la fiche et la pastille de l'en-tête.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Lancer le diagnostic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la vue « Diagnostic » et lance ses contrôles en lecture seule.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Actualiser les stratégies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gpupdate /force par WinRM, après confirmation dans la page.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Exécuter un programme…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un panneau dans la page : programme, arguments, « En arrière-plan (compte système) » ou « Dans la session de lʼutilisateur », puis confirmation. Une tâche planifiée unique lance le programme puis est supprimée.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Redémarrer…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panneau du redémarrage, qui lit d'abord les sessions ouvertes (section suivante).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Activer le compte » ou « Désactiver le compte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Un seul bouton, selon userAccountControl lu avec la fiche ; aucun quand cet attribut n'est pas lu.</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Ajouter », « Retirer », « Renommer dans AD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Groupes du poste et nom du compte ordinateur dans l'annuaire (pas Windows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Choisir lʼOU de destination…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Déplace le compte ordinateur du poste ouvert : l'OU se choisit dans le sélecteur, puis le déplacement se confirme dans la page. Le contrôleur revérifie le GUID du poste avant l'envoi ; si la sélection change pendant le choix, rien n'est envoyé.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bl>
    <w:p>
      <w:pPr>
        <w:spacing w:after="60"/>
      </w:pPr>
    </w:p>
    <w:p>
      <w:pPr>
        <w:keepNext w:val="false"/>
      </w:pPr>
      <w:r>
        <w:t xml:space="preserve">Dans l'en-tête d'Assistance poste, la pastille « Compte poste : … ▾ » dit avant le clic quel compte servira au disque C et aux consoles ; la ligne « Opérations poste : … » sous la carte « Se connecter » reprend le même texte.</w:t>
      </w:r>
    </w:p>
    <w:p>
      <w:r>
        <w:rPr>
          <w:b/>
          <w:bCs/>
        </w:rPr>
        <w:t xml:space="preserve">À savoir. </w:t>
      </w:r>
      <w:r>
        <w:t xml:space="preserve">« Exécuter un programme » exige aussi, pour ce poste, l'autorisation de 5 minutes donnée en tête de la vue « Intervenir » : « Autoriser une intervention (5 min) ». C'est la seule commande d'autorisation : le panneau « Exécuter un programme » dit seulement si elle est active et jusqu'à quelle heure. Pendant l'autorisation, la pastille « Intervention autorisée 4:59 · Retirer » compte le temps restant ; elle ne vaut que pour le poste ouvert, et « Retirer » la reprend aussitôt. Sans elle, aucune tâche n'est créée et Domenia refuse : « Transport avec dépôt de script, service ou tâche non autorisé pour ce poste (désactivé par défaut). Autorisez une intervention dans Assistance poste &gt; Intervenir, « Autoriser une intervention (5 min) », puis relancez votre action. » ; le bandeau d'erreur propose « Aller à Assistance poste &gt; Intervenir ».</w:t>
      </w:r>
    </w:p>
    <w:p>
      <w:pPr>
        <w:pStyle w:val="Heading2"/>
        <w:keepNext/>
      </w:pPr>
      <w:r>
        <w:t xml:space="preserve">Redémarrage avec les sessions lues d'abord</w:t>
      </w:r>
    </w:p>
    <w:p>
      <w:pPr>
        <w:keepNext w:val="false"/>
      </w:pPr>
      <w:r>
        <w:t xml:space="preserve">« Redémarrer… » ne redémarre rien au clic. Le panneau lit les sessions du poste (opération SessionsList, la même que « Lire les sessions »), les affiche, puis propose :</w:t>
      </w:r>
    </w:p>
    <w:p>
      <w:pPr>
        <w:pStyle w:val="ListParagraph"/>
        <w:numPr>
          <w:ilvl w:val="0"/>
          <w:numId w:val="2"/>
        </w:numPr>
      </w:pPr>
      <w:r>
        <w:t xml:space="preserve">« Dans 5 min avec message à lʼutilisateur », choisi par défaut : shutdown.exe /r avec le délai (Restart.DefaultDelaySeconds, 300 s, borné de 60 à 3 600 s) et un message d'une ligne de 400 caractères au plus, par WinRM ;</w:t>
      </w:r>
    </w:p>
    <w:p>
      <w:pPr>
        <w:pStyle w:val="ListParagraph"/>
        <w:numPr>
          <w:ilvl w:val="0"/>
          <w:numId w:val="2"/>
        </w:numPr>
      </w:pPr>
      <w:r>
        <w:t xml:space="preserve">« Maintenant, sans délai ni message » : Restart-Computer -Force, après l'ouverture d'une session CIM qui prouve que le poste répond.</w:t>
      </w:r>
    </w:p>
    <w:p>
      <w:pPr>
        <w:keepNext w:val="false"/>
      </w:pPr>
      <w:r>
        <w:t xml:space="preserve">L'envoi attend la fin de la lecture des sessions et passe par une confirmation dans la page. Une lecture refusée ne conclut à rien : le panneau le dit et recommande le redémarrage différé. Si un arrêt est déjà programmé sur le poste (code 1190), Domenia ne programme rien.</w:t>
      </w:r>
    </w:p>
    <w:p>
      <w:pPr>
        <w:keepNext w:val="false"/>
      </w:pPr>
      <w:r>
        <w:t xml:space="preserve">Pour « Actualiser les stratégies » comme pour le redémarrage, il n'y a plus de repli par tâche planifiée. Une connexion refusée n'envoie rien et laisse un reçu à lʼétat « Non envoyée » : « Non envoyé : le poste nʼaccepte pas la commande à distance ». Une demande envoyée n'est jamais rejouée.</w:t>
      </w:r>
    </w:p>
    <w:p>
      <w:pPr>
        <w:pStyle w:val="Heading2"/>
        <w:keepNext/>
      </w:pPr>
      <w:r>
        <w:t xml:space="preserve">Services du poste</w:t>
      </w:r>
    </w:p>
    <w:p>
      <w:pPr>
        <w:keepNext w:val="false"/>
      </w:pPr>
      <w:r>
        <w:t xml:space="preserve">« Lire les services » lit Win32_Service sur le poste par l'opération WmiQuery, en lecture seule et seulement sur ce clic. La liste met en tête les services automatiques arrêtés ; « Automatiques arrêtés seulement » et le champ de filtre agissent localement, sans nouvelle lecture.</w:t>
      </w:r>
    </w:p>
    <w:p>
      <w:pPr>
        <w:keepNext w:val="false"/>
      </w:pPr>
      <w:r>
        <w:t xml:space="preserve">« Démarrer… » (service arrêté) et « Redémarrer le service… » (service en cours) passent par l'opération ComputerServiceControl : confirmation dans la page, reçu durable écrit avant l'envoi, session CIM ouverte avant toute commande, puis relecture de l'état (« Running » attendu). Domenia ne change jamais le type de démarrage : un service désactivé est refusé avant l'envoi. Un arrêt refusé par Windows, par exemple parce que d'autres services en dépendent, ne relance rien. « Ouvrir dans la console » ouvre Gestion de l'ordinateur sur le poste pour une action avancée.</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Disque C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Le compte en service est toujours affiché dans la pastille « Compte poste » de l'en-tête d'Assistance poste (section suivante). Le bureau à distance passe par Windows.</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La pastille « Compte poste : … ▾ », dans l'en-tête d'Assistance poste au-dessus de « Bureau à distance » et visible dans les cinq vues, nomme le compte en service. Un clic ouvre un panneau latéral dans la page : « Identifiant », « Mot de passe », « Utiliser ce compte » et « Revenir au compte de connexion » (oublie le compte saisi). Fermer le panneau, par « Fermer », Échap ou un clic à côté, ne change pas le compte et efface un mot de passe tapé sans « Utiliser ce compte ».</w:t>
      </w:r>
    </w:p>
    <w:p>
      <w:pPr>
        <w:keepNext w:val="false"/>
      </w:pPr>
      <w:r>
        <w:t xml:space="preserve">Ordre de choix pour une opération sur un poste :</w:t>
      </w:r>
    </w:p>
    <w:p>
      <w:pPr>
        <w:ind w:left="340" w:hanging="340"/>
      </w:pPr>
      <w:r>
        <w:rPr>
          <w:b/>
          <w:bCs/>
        </w:rPr>
        <w:t xml:space="preserve">1. </w:t>
      </w:r>
      <w:r>
        <w:rPr>
          <w:b/>
          <w:bCs/>
        </w:rPr>
        <w:t xml:space="preserve">Compte local temporaire.</w:t>
      </w:r>
      <w:r>
        <w:t xml:space="preserve"> Un compte local de ce poste accepté après un refus, pour ce poste seulement.</w:t>
      </w:r>
    </w:p>
    <w:p>
      <w:pPr>
        <w:ind w:left="340" w:hanging="340"/>
      </w:pPr>
      <w:r>
        <w:rPr>
          <w:b/>
          <w:bCs/>
        </w:rPr>
        <w:t xml:space="preserve">2. </w:t>
      </w:r>
      <w:r>
        <w:rPr>
          <w:b/>
          <w:bCs/>
        </w:rPr>
        <w:t xml:space="preserve">Compte temporaire.</w:t>
      </w:r>
      <w:r>
        <w:t xml:space="preserve"> Un compte accepté après un refus pour les postes, oublié après une période sans utilisation.</w:t>
      </w:r>
    </w:p>
    <w:p>
      <w:pPr>
        <w:ind w:left="340" w:hanging="340"/>
      </w:pPr>
      <w:r>
        <w:rPr>
          <w:b/>
          <w:bCs/>
        </w:rPr>
        <w:t xml:space="preserve">3. </w:t>
      </w:r>
      <w:r>
        <w:rPr>
          <w:b/>
          <w:bCs/>
        </w:rPr>
        <w:t xml:space="preserve">Compte poste saisi.</w:t>
      </w:r>
      <w:r>
        <w:t xml:space="preserve"> Celui du panneau « Compte poste », en mémoire seulement.</w:t>
      </w:r>
    </w:p>
    <w:p>
      <w:pPr>
        <w:ind w:left="340" w:hanging="340"/>
      </w:pPr>
      <w:r>
        <w:rPr>
          <w:b/>
          <w:bCs/>
        </w:rPr>
        <w:t xml:space="preserve">4. </w:t>
      </w:r>
      <w:r>
        <w:rPr>
          <w:b/>
          <w:bCs/>
        </w:rPr>
        <w:t xml:space="preserve">Compte Postes.</w:t>
      </w:r>
      <w:r>
        <w:t xml:space="preserve"> Celui de la zone « POSTES / WMI / DISTANT » de la page « Comptes » (chapitre 13).</w:t>
      </w:r>
    </w:p>
    <w:p>
      <w:pPr>
        <w:ind w:left="340" w:hanging="340"/>
      </w:pPr>
      <w:r>
        <w:rPr>
          <w:b/>
          <w:bCs/>
        </w:rPr>
        <w:t xml:space="preserve">5. </w:t>
      </w:r>
      <w:r>
        <w:rPr>
          <w:b/>
          <w:bCs/>
        </w:rPr>
        <w:t xml:space="preserve">Compte de connexion.</w:t>
      </w:r>
      <w:r>
        <w:t xml:space="preserve"> Le compte saisi dans la fenêtre de connexion de Domenia.</w:t>
      </w:r>
    </w:p>
    <w:p>
      <w:pPr>
        <w:ind w:left="340" w:hanging="340"/>
      </w:pPr>
      <w:r>
        <w:rPr>
          <w:b/>
          <w:bCs/>
        </w:rPr>
        <w:t xml:space="preserve">6. </w:t>
      </w:r>
      <w:r>
        <w:rPr>
          <w:b/>
          <w:bCs/>
        </w:rPr>
        <w:t xml:space="preserve">Session Windows.</w:t>
      </w:r>
      <w:r>
        <w:t xml:space="preserve"> La session qui exécute Domenia.</w:t>
      </w:r>
    </w:p>
    <w:p>
      <w:pPr>
        <w:keepNext w:val="false"/>
      </w:pPr>
      <w:r>
        <w:t xml:space="preserve">Le panneau dit le compte en service et son origine, par exemple « Opérations poste : DOMAINE\adm-poste (compte poste saisi, en mémoire seulement). » ou « Opérations poste : session Windows (DOMAINE\technicien). ». La ligne « Opérations poste : … » de la carte « Se connecter » (vue « Intervenir ») reprend le même texte.</w:t>
      </w:r>
    </w:p>
    <w:p>
      <w:pPr>
        <w:pStyle w:val="Heading2"/>
        <w:keepNext/>
      </w:pPr>
      <w:r>
        <w:t xml:space="preserve">Diagnostic, sessions et secrets</w:t>
      </w:r>
    </w:p>
    <w:p>
      <w:pPr>
        <w:pStyle w:val="ListParagraph"/>
        <w:numPr>
          <w:ilvl w:val="0"/>
          <w:numId w:val="2"/>
        </w:numPr>
      </w:pPr>
      <w:r>
        <w:t xml:space="preserve">« Diagnostic », onglet « Contrôles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Intervenir », «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à la fois, affichée brièvement, jamais journalisée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(5 min) » (en tête de la vue « Intervenir » d'Assistance poste) vaut 5 minutes pour le poste ouvert et ne couvre que les interventions : une lecture n'y bascule jamais seule. Quand CIM échoue, l'inventaire, la lecture des logiciels, l'explorateur WMI, le diagnostic et « Détecter à nouveau » rendent un « non lu » et nomment la demande à faire, pour cette lecture seule : « Lire ce poste par tâche planifiée » (même endroit, autorisation distincte retirée après cette lecture).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1"/>
      <w:r>
        <w:t xml:space="preserve">6 Inventaire du poste</w:t>
      </w:r>
      <w:bookmarkEnd w:id="1"/>
    </w:p>
    <w:p>
      <w:pPr>
        <w:keepNext w:val="false"/>
      </w:pPr>
      <w:r>
        <w:t xml:space="preserve">L'onglet « Inventaire » de la vue « Détails » lit le poste par CIM, avec le compte des opérations poste, et ne modifie rien. Le même inventaire remplit le tableau de bord de « Vue d'ensemble » et l'âge affiché dans l'en-tête du poste.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31"/>
        <w:gridCol w:w="7307"/>
      </w:tblGrid>
      <w:tr>
        <w:trPr>
          <w:cantSplit/>
          <w:tblHeader/>
        </w:trPr>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730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rapide (≈1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complet (≈3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Démarrage automatique : seul le programme de chaque entrée est gardé, jamais ses arguments, qui peuvent contenir un mot de passe ; un programme ni entre guillemets ni écrit en chemin absolu est réduit à son premier mot. Tâches planifiées : avec WinRM, l'inventaire complet lit l'état, l'auteur, la dernière exécution et le dernier résultat (40 tâches hors Microsoft au plus, jamais leurs actions ni leurs arguments). Sans WinRM, ou quand la session WinRM échoue pour une autre raison qu'un identifiant refusé (écouteur, stratégie HTTP, Kerberos ou SPN), il lit la liste, l'état et l'auteur par CIM, et l'accès de la source nomme l'échec WinRM ; il lit aussi la date du dernier démarrage dans le cache du Planificateur (registre, format non documenté par Microsoft, réservé aux administrateurs du poste) ; le résultat reste « non lu (WinRM requis) ».</w:t>
      </w: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Détail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67"/>
        <w:gridCol w:w="5371"/>
      </w:tblGrid>
      <w:tr>
        <w:trPr>
          <w:cantSplit/>
          <w:tblHeader/>
        </w:trPr>
        <w:tc>
          <w:tcPr>
            <w:tcW w:type="dxa" w:w="4267"/>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7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Sélectionnez une machine avant de lancer lʼinventaire.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(5 min) » (chapitre 5) ; jauges et graphiques restent vides. Vérifier CIM/DCOM sur le poste.</w:t>
            </w:r>
          </w:p>
        </w:tc>
      </w:tr>
    </w:tbl>
    <w:p>
      <w:pPr>
        <w:spacing w:after="60"/>
      </w:pPr>
    </w:p>
    <w:p>
      <w:pPr>
        <w:pStyle w:val="Heading1"/>
        <w:keepNext/>
      </w:pPr>
      <w:bookmarkStart w:name="chapitre_7" w:id="1"/>
      <w:r>
        <w:t xml:space="preserve">7 Tableau de bord du poste</w:t>
      </w:r>
      <w:bookmarkEnd w:id="1"/>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1"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62"/>
        <w:gridCol w:w="3356"/>
        <w:gridCol w:w="5120"/>
      </w:tblGrid>
      <w:tr>
        <w:trPr>
          <w:cantSplit/>
          <w:tblHeader/>
        </w:trPr>
        <w:tc>
          <w:tcPr>
            <w:tcW w:type="dxa" w:w="1162"/>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3356"/>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12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processus et les erreurs système.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processus et les erreurs système.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certificats machine.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certificats machine.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état », 60 et plus « À surveiller », en dessous « Dégradé ».</w:t>
      </w:r>
    </w:p>
    <w:p>
      <w:pPr>
        <w:pStyle w:val="ListParagraph"/>
        <w:numPr>
          <w:ilvl w:val="0"/>
          <w:numId w:val="2"/>
        </w:numPr>
      </w:pPr>
      <w:r>
        <w:t xml:space="preserve">Exemples : un point à surveiller donne 90 « Bon état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ListParagraph"/>
        <w:numPr>
          <w:ilvl w:val="0"/>
          <w:numId w:val="2"/>
        </w:numPr>
      </w:pPr>
      <w:r>
        <w:t xml:space="preserve">Parc : le score est la part des postes évalués sans point détecté. Les postes incomplets sont comptés à part, jamais comme sains. Dès qu’un poste n’est pas évalué, la couverture s’affiche à côté du score, par exemple « couverture 90 % (18 évalué(s) sur 20) ». Sous 50 % des comptes activés évalués, aucun score n’est affiché : « Couverture insuffisante », ou « Critique » si un point critique est établi.</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8" w:id="1"/>
      <w:r>
        <w:t xml:space="preserve">8 Tableau de bord et Atelier de requêtes</w:t>
      </w:r>
      <w:bookmarkEnd w:id="1"/>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1"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 Aucun ping ni WMI.</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Présence réseau seulement, après confirmation du nombre de cibles ; les dates AD et WMI restent inchangées.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Console, inventaire léger et sondes WMI des widgets Général/Poste forcés, après confirmation du nombre de cibles ; aucun ping imposé.</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lancez d’abord « Objets AD » et attendez la confirmation de son enregistrement avant de préparer les cibles.</w:t>
      </w:r>
    </w:p>
    <w:p>
      <w:pPr>
        <w:keepNext w:val="false"/>
      </w:pPr>
      <w:r>
        <w:t xml:space="preserve">Les trois commandes ne s’enchaînent pas : chacune est une collecte indépendante, enregistrée automatiquement. Une lecture AD n’est à jour qu’après le reçu d’enregistrement complet ; un résultat LDAP reçu ne suffit pas. Une passe partielle, un échec de stockage, un arrêt ou un changement de session, de base ou d’OU cible arrête la collecte en cours.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Objets AD » ou « Mettre à jour lʼOU choisie » dans Base autonome.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Ping » pour la présence, « WMI » pour la console, collecte ciblée ou vérification du poste.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ou analyse ciblée.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AD au-delà du seuil » porte sur les comptes actifs dont la date connue dépasse le seuil réglé dans les règles de santé (90 jours par défaut).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Résultats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800100"/>
            <wp:effectExtent t="0" r="0" b="0" l="0"/>
            <wp:docPr id="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Résultats » réserve la place au tableau et à la fiche locale ; « 1. Créer » regroupe les conditions, les sauvegardes, les sondes et les réglages de collecte. « Bibliothèque » présente les modèles et vos requêtes personnelles. « Informations » aide à choisir un champ et à comprendre sa source.</w:t>
      </w:r>
    </w:p>
    <w:p>
      <w:pPr>
        <w:ind w:left="340" w:hanging="340"/>
      </w:pPr>
      <w:r>
        <w:rPr>
          <w:b/>
          <w:bCs/>
        </w:rPr>
        <w:t xml:space="preserve">1. </w:t>
      </w:r>
      <w:r>
        <w:rPr>
          <w:b/>
          <w:bCs/>
        </w:rPr>
        <w:t xml:space="preserve">Choisir une base.</w:t>
      </w:r>
      <w:r>
        <w:t xml:space="preserve"> Sélectionnez Tous les postes recensés ou un modèle adapté, puis « Charger ». « Nouvelle » prépare une requête vide. Ces deux commandes ouvrent « 1. Créer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Exécuter » pour afficher « Résultats ». Lisez le total, le périmètre et les données absentes avant d’examiner les pages.</w:t>
      </w:r>
    </w:p>
    <w:p>
      <w:pPr>
        <w:ind w:left="340" w:hanging="340"/>
      </w:pPr>
      <w:r>
        <w:rPr>
          <w:b/>
          <w:bCs/>
        </w:rPr>
        <w:t xml:space="preserve">5. </w:t>
      </w:r>
      <w:r>
        <w:rPr>
          <w:b/>
          <w:bCs/>
        </w:rPr>
        <w:t xml:space="preserve">Regrouper si utile.</w:t>
      </w:r>
      <w:r>
        <w:t xml:space="preserve"> Dans « 1. Créer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1. Créer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enregistrées sont limitées à 100 recettes dans une enveloppe de 1 Mio ; les modèles livrés sont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 name="atelier-requetes" descr="Atelier de requêtes : onglet Résultats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Résultats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1285875"/>
            <wp:effectExtent t="0" r="0" b="0" l="0"/>
            <wp:docPr id="1"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152 modèles livrés dans 14 catégories,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1. Créer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138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Onglet Informations</w:t>
      </w:r>
    </w:p>
    <w:p>
      <w:pPr>
        <w:keepNext w:val="false"/>
      </w:pPr>
      <w:r>
        <w:t xml:space="preserve">Le catalogue contient les 138 champs acceptés par le moteur : 27 informations du parc et 111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1. Créer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 name="atelier-catalogue" descr="Onglet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Onglet Informations : champ sélectionné, usage, source et disponibilité ; données fictives</w:t>
      </w:r>
    </w:p>
    <w:p>
      <w:pPr>
        <w:pStyle w:val="Heading2"/>
        <w:keepNext/>
      </w:pPr>
      <w:r>
        <w:t xml:space="preserve">Exemple de requête réutilisable</w:t>
      </w:r>
    </w:p>
    <w:p>
      <w:pPr>
        <w:keepNext w:val="false"/>
      </w:pPr>
      <w:r>
        <w:t xml:space="preserve">Dans « 1. Créer », choisissez l’espace libre du disque système en pourcentage, l’opérateur inférieur à et la valeur 20. Ajoutez la condition puis cliquez sur « Exécuter ». Les mesures absentes ne sont pas assimilées à zéro.</w:t>
      </w:r>
    </w:p>
    <w:p>
      <w:pPr>
        <w:keepNext/>
        <w:spacing w:after="60" w:before="120"/>
        <w:jc w:val="center"/>
      </w:pPr>
      <w:r>
        <w:drawing>
          <wp:inline distT="0" distB="0" distL="0" distR="0">
            <wp:extent cx="5762625" cy="381000"/>
            <wp:effectExtent t="0" r="0" b="0" l="0"/>
            <wp:docPr id="1"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Revenez dans « 1. Créer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123950"/>
            <wp:effectExtent t="0" r="0" b="0" l="0"/>
            <wp:docPr id="1"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1. Créer », choisissez « Tableau de bord général » et une présentation (Indicateur, Texte, Barres, Camembert ou Colonnes),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866900"/>
            <wp:effectExtent t="0" r="0" b="0" l="0"/>
            <wp:docPr id="1"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1. Créer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295275"/>
            <wp:effectExtent t="0" r="0" b="0" l="0"/>
            <wp:docPr id="1"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ouvre « 1. Créer » avec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Résultats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1724025"/>
            <wp:effectExtent t="0" r="0" b="0" l="0"/>
            <wp:docPr id="1"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924050"/>
            <wp:effectExtent t="0" r="0" b="0" l="0"/>
            <wp:docPr id="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Ping » et « WMI » forcent respectivement la présence, ou la console, l’inventaire léger de l’OU et les sondes des widgets configurés, sans leur appliquer cette réutilisation des mesures.</w:t>
      </w:r>
    </w:p>
    <w:p>
      <w:pPr>
        <w:keepNext w:val="false"/>
      </w:pPr>
      <w:r>
        <w:t xml:space="preserve">Dans « 1. Créer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WMI » relit la console et l’inventaire léger des comptes actifs de l’OU et de ses sous-OU, ainsi que les sondes des widgets configurés ; « Ping » relit leur seule présence. Le plan de « WMI »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676275"/>
            <wp:effectExtent t="0" r="0" b="0" l="0"/>
            <wp:docPr id="1"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1"/>
      <w:r>
        <w:t xml:space="preserve">9 Widgets fonctionnement et catalogue complet</w:t>
      </w:r>
      <w:bookmarkEnd w:id="1"/>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467"/>
        <w:gridCol w:w="2161"/>
        <w:gridCol w:w="6010"/>
      </w:tblGrid>
      <w:tr>
        <w:trPr>
          <w:cantSplit/>
          <w:tblHeader/>
        </w:trPr>
        <w:tc>
          <w:tcPr>
            <w:tcW w:type="dxa" w:w="146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61"/>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601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 Matériel et widgets » de « Vérifier la liste ».</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Objets AD », « Ping », « WMI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Copier le résumé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Dès que le tableau a une lecture.</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Copie en texte brut, pour un ticket : l'objet (poste, OU ou liste de logiciels) et la date de ses données, le score avec son verdict et sa couverture, les points à vérifier, puis les fiches Identité, Compte machine et État de protection du poste, ou les comptes et la sécurité de l'OU, ou la synthèse des logiciels. Un secret éventuel est masqué avant le presse-papiers ; rien n'est relu.</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Par défaut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de l'équipe si l'administrateur en a défini une (voir « Enregistrement de la disposition »), sinon à la disposition livrée ; sans confirmation mais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Exporter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Enregistre la disposition en JSON (Domenia-disposition-poste, -accueil ou -logiciels, avec la date) dans le dossier des exports, par le worker DocumentStore ; la confirmation reste dans la page avec « Ouvrir le dossier ». Aucun fichier existant n'est remplacé.</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Importer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Choisit un fichier JSON dans le sélecteur intégré à la page, jamais une boîte de dialogue Windows, puis le lit en arrière-plan : une disposition d'un autre tableau est refusée, les widgets inconnus et les requêtes personnelles absentes de ce poste sont écartés. Le remplacement est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1"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Un widget sans chiffre dit pourquoi, avec le bouton qui agit : « Pas encore collecté pour ce tableau. » (« Collecter »), « Absent du dernier relevé du … » (« Relire »), « Lu par l’inventaire complet seulement » (« Inventaire complet »). Il garde une place compacte dès que le tableau du poste a une lecture ; avant toute lecture, seuls les widgets suspendus ou en collecte sont affichés. En personnalisation, tous les widgets restent visibles à leur taille.</w:t>
      </w:r>
    </w:p>
    <w:p>
      <w:pPr>
        <w:pStyle w:val="ListParagraph"/>
        <w:numPr>
          <w:ilvl w:val="0"/>
          <w:numId w:val="2"/>
        </w:numPr>
      </w:pPr>
      <w:r>
        <w:t xml:space="preserve">Le menu clic droit d'un widget, toujours disponible, propose « Copier » (le titre, la valeur, le détail, les lignes et la date des données, en texte brut, secret éventuel masqué), « Modifier... », « Représentation », « Taille » (« Compacte », « Moyenne », « Large »), « Déplacer » et « Retirer du tableau de bord ». Un widget suspendu ou sans chiffre n'a pas « Copier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Un widget à la fois</w:t>
      </w:r>
    </w:p>
    <w:p>
      <w:pPr>
        <w:pStyle w:val="ListParagraph"/>
        <w:numPr>
          <w:ilvl w:val="0"/>
          <w:numId w:val="2"/>
        </w:numPr>
      </w:pPr>
      <w:r>
        <w:rPr>
          <w:b/>
          <w:bCs/>
        </w:rPr>
        <w:t xml:space="preserve">Actualiser.</w:t>
      </w:r>
      <w:r>
        <w:t xml:space="preserve"> Le bouton rond d’actualisation, l’entrée « Actualiser ce widget » du menu ou la touche F5 sur le widget relisent seulement ce que ce widget affiche, pour le périmètre de son tableau : le poste sélectionné, ou les postes actifs de l’OU affichée sur l’Accueil, jamais tout le domaine. Une requête WMI relit ses seules sondes, sans console ni ping ; un widget du poste relance l’inventaire rapide ou complet qui le remplit ; un widget de l’annuaire relit les objets AD de l’OU ; un widget calculé est recalculé localement. Une relecture des postes demande la confirmation de leur nombre, comme « Vérifier la liste » (« Collecter N postes »).</w:t>
      </w:r>
    </w:p>
    <w:p>
      <w:pPr>
        <w:pStyle w:val="ListParagraph"/>
        <w:numPr>
          <w:ilvl w:val="0"/>
          <w:numId w:val="2"/>
        </w:numPr>
      </w:pPr>
      <w:r>
        <w:rPr>
          <w:b/>
          <w:bCs/>
        </w:rPr>
        <w:t xml:space="preserve">Ajouter.</w:t>
      </w:r>
      <w:r>
        <w:t xml:space="preserve"> Ajouter un widget, depuis l’éditeur ou l’Atelier, est le geste explicite : la collecte de ce qui lui manque part aussitôt. Seuls les postes sans mesure exploitable de moins de 30 jours (durée de conservation) sont contactés ; un poste déjà mesuré n’est pas interrogé. Avant toute lecture, le relevé vérifie les mesures enregistrées de chaque poste (« Recherche des mesures manquantes ») ; une requête non applicable au système, sur un contrôleur de domaine par exemple, compte comme une réponse. Jusqu’à 200 postes à lire, la collecte démarre sans confirmation ; au-delà, le nombre de postes à lire est confirmé dans la page (« Collecter N postes »), en trois lignes : postes visés et postes déjà à jour, ce qui sera lu, durée estimée. Le plafond d’un relevé (Park.MaxTargets, 500 postes par défaut) s’applique aux postes à lire : au-delà, rien n’est lu et la barre d’état le dit. Les budgets et le parallélisme du moteur s’appliquent.</w:t>
      </w:r>
    </w:p>
    <w:p>
      <w:pPr>
        <w:pStyle w:val="ListParagraph"/>
        <w:numPr>
          <w:ilvl w:val="0"/>
          <w:numId w:val="2"/>
        </w:numPr>
      </w:pPr>
      <w:r>
        <w:rPr>
          <w:b/>
          <w:bCs/>
        </w:rPr>
        <w:t xml:space="preserve">Suivre.</w:t>
      </w:r>
      <w:r>
        <w:t xml:space="preserve"> Pendant la collecte, le widget affiche « Collecte en cours · N/M poste(s) », avec les postes déjà à jour et les lectures non confirmées. Le chiffre reste le dernier enregistré jusqu’à la fin. Un widget de l’Accueil est relevé dans la portée de la liste : « Vérifier la liste » affiche son avancement (« Relevé de … ») et devient son « Arrêter ». Un widget du poste est relevé dans la portée du poste ouvert, à côté d’un relevé de la liste. Un relevé déjà en cours dans la même portée met le widget « En file » ; il démarre à la fin de ce relevé, une fois le recalcul de l’OU affiché sur l’Accueil (« En file : en attente du recalcul de l’OU. »), 20 widgets au plus en attente. Si le poste sélectionné ou l’OU affichée change entre-temps, la collecte en file est abandonnée et la barre d’état le dit : elle ne part jamais sur une autre population. La progression d’une collecte ne s’affiche que sur le tableau de son poste ou de son OU.</w:t>
      </w:r>
    </w:p>
    <w:p>
      <w:pPr>
        <w:pStyle w:val="ListParagraph"/>
        <w:numPr>
          <w:ilvl w:val="0"/>
          <w:numId w:val="2"/>
        </w:numPr>
      </w:pPr>
      <w:r>
        <w:rPr>
          <w:b/>
          <w:bCs/>
        </w:rPr>
        <w:t xml:space="preserve">Suspendre la mesure.</w:t>
      </w:r>
      <w:r>
        <w:t xml:space="preserve"> Le bouton rond pause ou l’entrée du menu suspend le widget : il garde sa place, sa taille et son titre et affiche « Mesure suspendue ». Il est exclu de toutes les collectes : son actualisation, celle du tableau, « Analyser la liste » et l’actualisation WMI de l’OU. Un relevé lancé pour lui seul est arrêté. Les lectures communes restent faites par leurs propres actions (inventaire du poste, ping et relevé WMI léger utilisés par la santé) ; le texte du widget le précise. « Reprendre la mesure » collecte ce qui lui manque, après confirmation du nombre de postes à lire. L’état est enregistré avec la disposition et s’annule comme elle.</w:t>
      </w:r>
    </w:p>
    <w:p>
      <w:pPr>
        <w:pStyle w:val="ListParagraph"/>
        <w:numPr>
          <w:ilvl w:val="0"/>
          <w:numId w:val="2"/>
        </w:numPr>
      </w:pPr>
      <w:r>
        <w:rPr>
          <w:b/>
          <w:bCs/>
        </w:rPr>
        <w:t xml:space="preserve">Comprendre ce chiffre.</w:t>
      </w:r>
      <w:r>
        <w:t xml:space="preserve"> Le bouton rond d’information ou l’entrée du menu ouvre, dans la page, la valeur affichée, la formule, le périmètre, les critères, les exclusions, la couverture, les dates et le nombre de postes du total. « Afficher les postes » ouvre la liste exacte des GUID du calcul affiché, nommée avec son compte et sa date ; pour une requête WMI ou une requête enregistrée, aucune liste figée n’est conservée et la liste est recalculée depuis le calcul affiché, sans nouvelle lecture. Sur le tableau du poste, le chiffre porte sur le poste sélectionné. Si la vue a été recalculée entre-temps, même pendant que le panneau est ouvert, le détail est refusé et le tableau redessiné. Rien n’est relu pour expliquer un chiffre.</w:t>
      </w:r>
    </w:p>
    <w:p>
      <w:pPr>
        <w:pStyle w:val="ListParagraph"/>
        <w:numPr>
          <w:ilvl w:val="0"/>
          <w:numId w:val="2"/>
        </w:numPr>
      </w:pPr>
      <w:r>
        <w:rPr>
          <w:b/>
          <w:bCs/>
        </w:rPr>
        <w:t xml:space="preserve">Clavier.</w:t>
      </w:r>
      <w:r>
        <w:t xml:space="preserve"> Tab place le focus sur un widget ; Maj+F10 ouvre son menu ; F5 l’actualise ; Ctrl+C le copie en texte. En personnalisation, Alt+flèches et Alt+Début/Fin le déplacent, Alt+Maj+flèches changent sa taille d’un cran, Suppr le retire (annulable).</w:t>
      </w:r>
    </w:p>
    <w:p>
      <w:pPr>
        <w:pStyle w:val="ListParagraph"/>
        <w:numPr>
          <w:ilvl w:val="0"/>
          <w:numId w:val="2"/>
        </w:numPr>
      </w:pPr>
      <w:r>
        <w:rPr>
          <w:b/>
          <w:bCs/>
        </w:rPr>
        <w:t xml:space="preserve">Ordre des sections.</w:t>
      </w:r>
      <w:r>
        <w:t xml:space="preserve"> Dans Personnaliser, Monter et Descendre déplacent une section avec tous ses widgets. L’ordre est enregistré dans la disposition et peut être annulé. Santé termine la disposition par défaut ; un ordre personnel ou d’équipe est conservé.</w:t>
      </w:r>
    </w:p>
    <w:p>
      <w:pPr>
        <w:pStyle w:val="ListParagraph"/>
        <w:numPr>
          <w:ilvl w:val="0"/>
          <w:numId w:val="2"/>
        </w:numPr>
      </w:pPr>
      <w:r>
        <w:rPr>
          <w:b/>
          <w:bCs/>
        </w:rPr>
        <w:t xml:space="preserve">Grille.</w:t>
      </w:r>
      <w:r>
        <w:t xml:space="preserve"> Chaque section range ses widgets dans une grille de 4 colonnes quand la page mesure au moins 1 100 points, 3 à partir de 780, 2 à partir de 440 et une seule en dessous. Compacte, Moyenne et Large occupent 1, 2 ou 3 colonnes. Les colonnes inutilisées restent vides : une carte conserve la taille demandée, même seule sur sa rangée. À côté d’une carte haute (graphique, jauge, fiche), deux tuiles compactes s’empilent dans une colonne ; les cartes d’une rangée prennent la même hauteur. Quand la largeur change, les widgets sont replacés et redimensionnés aussitôt, sans rien relire ; leurs dessins suivent dès que la fenêtre ne bouge plus (0,3 s). Une marge de 24 points autour de chaque seuil évite qu’une barre de défilement fasse basculer la grille.</w:t>
      </w:r>
    </w:p>
    <w:p>
      <w:pPr>
        <w:pStyle w:val="ListParagraph"/>
        <w:numPr>
          <w:ilvl w:val="0"/>
          <w:numId w:val="2"/>
        </w:numPr>
      </w:pPr>
      <w:r>
        <w:rPr>
          <w:b/>
          <w:bCs/>
        </w:rPr>
        <w:t xml:space="preserve">Haute résolution.</w:t>
      </w:r>
      <w:r>
        <w:t xml:space="preserve"> Une carte n’est jamais dessinée sous 200 points de large ; sur une page plus étroite encore (affichage à 200 % dans une fenêtre réduite), elle est réduite proportionnellement, jamais sous 60 %, au lieu d’être coupée.</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1"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RAM, disque, BitLocker, redémarrage… »), deux rangées de filtres rapides et la liste des informations disponibles, groupée en « Informations du tableau · … » puis en « Lu sur …, à la demande · … » (le poste, ou les postes sur l'Accueil ; … : la catégorie) et « Mes requêtes ». La classe WMI d'une requête n'apparaît que dans son infobulle. Le badge « Déjà affiché » marque ce qui est sur le tableau ; le badge « Interroge le poste » (« Interroge les postes ») signale qu'à l'ajout, le widget lit aussitôt ce qui lui manque, en lecture seule.</w:t>
      </w:r>
    </w:p>
    <w:p>
      <w:pPr>
        <w:pStyle w:val="ListParagraph"/>
        <w:numPr>
          <w:ilvl w:val="0"/>
          <w:numId w:val="2"/>
        </w:numPr>
      </w:pPr>
      <w:r>
        <w:t xml:space="preserve">Filtres rapides : l'origine (« Tout », « Informations du tableau », « Lu sur le poste », « Mes requêtes » s'il y en a), puis les catégories existantes de cette origine (« Toutes », Identité du poste, Ressources, Matériel, Disques, Réseau, Sécurité…).</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 Une petite table locale de synonymes complète les mots usuels absents du catalogue : RAM et memory (mémoire), SSD, HDD et stockage (disque), Defender et AV (antivirus), firewall (pare-feu), reboot, restart et redémarrer (redémarrage), IP (adresse IP, réseau), uptime (en service, démarrage), MAJ, update, patch et KB (mise à jour, correctif), CPU (processeur), GPU (graphique, affichage).</w:t>
      </w:r>
    </w:p>
    <w:p>
      <w:pPr>
        <w:pStyle w:val="ListParagraph"/>
        <w:numPr>
          <w:ilvl w:val="0"/>
          <w:numId w:val="2"/>
        </w:numPr>
      </w:pPr>
      <w:r>
        <w:t xml:space="preserve">À droite : « Titre », « Représentation » (des vignettes cliquables, une icône et un nom par représentation permise ; les flèches passent de l'une à l'autre),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Le panneau n'a que « Annuler » et « Ajouter » (« Enregistrer » en modification) ; Échap ferme sans rien changer.</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et la collecte de ses données manquantes part aussitôt (voir la section Un widget à la fois). Sans poste ni OU utilisable, la barre affiche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953"/>
        <w:gridCol w:w="5685"/>
      </w:tblGrid>
      <w:tr>
        <w:trPr>
          <w:cantSplit/>
          <w:tblHeader/>
        </w:trPr>
        <w:tc>
          <w:tcPr>
            <w:tcW w:type="dxa" w:w="3953"/>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685"/>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datées (Timeline)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Courbe, Histogramme,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Santé (Health)</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Score et points, Score, Chiffre clé</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Fiche (Sheet)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Fiche,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d'état (Checklist)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d'état, Fiche, Liste</w:t>
            </w:r>
          </w:p>
        </w:tc>
      </w:tr>
    </w:tbl>
    <w:p>
      <w:pPr>
        <w:spacing w:after="60"/>
      </w:pPr>
    </w:p>
    <w:p>
      <w:pPr>
        <w:keepNext w:val="false"/>
      </w:pPr>
      <w:r>
        <w:t xml:space="preserve">Sur un tableau, la largeur vient de la grille : Compacte, Moyenne et Large occupent 1, 2 ou 3 colonnes (voir « Grille »). La hauteur dépend de la représentation : 118 points pour un chiffre clé, 250 pour un anneau, des barres, un histogramme, une courbe, une jauge ou un score ; la liste, la liste de points, la carte « Score et points », la fiche et la liste d'état suivent leur contenu. Dans une rangée, chaque carte prend la hauteur de la plus haute. Les largeurs de l'aperçu de l'éditeur restent celles d'une page de 4 colonnes.</w:t>
      </w:r>
    </w:p>
    <w:p>
      <w:pPr>
        <w:keepNext w:val="false"/>
      </w:pPr>
      <w:r>
        <w:t xml:space="preserve">« Score et points » réunit dans une carte le score (anneau, verdict, détail, couverture ou lecture partielle, bouton de la lecture complète) et les points à vérifier, du plus grave au moins grave, sous le titre « 4 points à vérifier · 1 information » : les informations sont comptées à part. Sur l'Accueil, un point déplie ses postes ; sur le poste, il ouvre la vue de l'action utile. Sans point à vérifier, une seule ligne verte « Rien à signaler », seulement si le score est établi ; un score retenu ou partiel affiche « Aucun problème établi ». La couleur de l'état reste sur les icônes. En dessous de 520 points, les points passent sous le score.</w:t>
      </w:r>
    </w:p>
    <w:p>
      <w:pPr>
        <w:keepNext w:val="false"/>
      </w:pPr>
      <w:r>
        <w:t xml:space="preserve">Limites d'affichage : un anneau montre 8 parts au plus, les plus petites regroupées en « Autres » ; une liste montre 10 lignes, la liste de points et la carte « Score et points » 9, une fiche 12.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de l'équipe si l'administrateur en a défini une, sinon la disposition livrée : le catalogue dans son ordre sans les widgets marqués « catalogue seulement » (colonne « Affichage initial » à Non). Sur le poste, 14 widgets : la carte Santé, les fiches Identité du poste et Compte machine, la liste d'état « État de protection », les ressources, l'activité, les services automatiques arrêtés et les périphériques en erreur ; les autres tuiles restent au catalogue. Sur l'Accueil, la carte Santé remplace le score et la liste des points côte à côte. Une liste vide enregistrée est un tableau vidé volontairement et reste vide.</w:t>
      </w:r>
    </w:p>
    <w:p>
      <w:pPr>
        <w:pStyle w:val="ListParagraph"/>
        <w:numPr>
          <w:ilvl w:val="0"/>
          <w:numId w:val="2"/>
        </w:numPr>
      </w:pPr>
      <w:r>
        <w:t xml:space="preserve">Une disposition enregistrée identique à une disposition livrée auparavant (tout le catalogue du poste, le score et les points séparés de l'Accueil, ou l'Accueil de la RC1.13.0), sans titre changé ni widget suspendu, est remplacée par la disposition livrée actuelle. Toute disposition modifiée par l'opérateur est conservée telle quelle ; « Par défaut » applique la nouvelle.</w:t>
      </w:r>
    </w:p>
    <w:p>
      <w:pPr>
        <w:pStyle w:val="ListParagraph"/>
        <w:numPr>
          <w:ilvl w:val="0"/>
          <w:numId w:val="2"/>
        </w:numPr>
      </w:pPr>
      <w:r>
        <w:t xml:space="preserve">Disposition de l'équipe : l'administrateur exporte la disposition voulue (« Exporter » en personnalisation), puis recopie le fichier, ou sa seule liste « Layout », dans la clé Dashboard.DefaultLayoutComputer, Dashboard.DefaultLayoutFleet ou Dashboard.DefaultLayoutSoftware de wad\Domenia.config.json. Elle s'applique aux tableaux jamais personnalisés et à « Par défaut ». Elle ne garde que les widgets connus du tableau, sans les requêtes personnelles ; une valeur illisible, vide ou d'un autre tableau est ignorée et la disposition livrée s'applique.</w:t>
      </w:r>
    </w:p>
    <w:p>
      <w:pPr>
        <w:pStyle w:val="ListParagraph"/>
        <w:numPr>
          <w:ilvl w:val="0"/>
          <w:numId w:val="2"/>
        </w:numPr>
      </w:pPr>
      <w:r>
        <w:t xml:space="preserve">À la lecture, un widget inconnu du catalogue est écarté, représentation et taille sont corrigées. Un identifiant absent ou répété (disposition d'équipe écrite à la main, par exemple) est remplacé par un identifiant tiré de la clé du widget et de sa place dans la liste : le même texte donne toujours les mêmes identifiants, et les menus, « Copier » et « Actualiser » retrouvent le widget affiché.</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57"/>
        <w:gridCol w:w="2009"/>
        <w:gridCol w:w="1110"/>
        <w:gridCol w:w="4762"/>
      </w:tblGrid>
      <w:tr>
        <w:trPr>
          <w:cantSplit/>
          <w:tblHeader/>
        </w:trPr>
        <w:tc>
          <w:tcPr>
            <w:tcW w:type="dxa" w:w="1757"/>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009"/>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110"/>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76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Santé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Score sur 100 et points à vérifier, du plus grave au moins grave (carte « Score et points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Points d’attention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Problèmes détectés, du plus grave au moins grave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Identité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système, modèle, processeur, mémoire, durée de fonctionnement, session, adresse IP et domaine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état du compte, OU, mot de passe machine, LAPS, dernière connexion, responsable et horloge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État de protection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Liste d'état : BitLocker, démarrage sécurisé, pare-feu, antivirus, redémarrage en attente et dernier correctif, contrôle par contrôle ; un contrôle non lu est marqué « Non lu », jamais conforme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Démarrage sécurisé</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Secure Boot lu dans le registre du poste par l’inventaire ; aussi une ligne de « État de protection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Mises à jour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Build, révision et source des mises à jour, sans verdict de conformité</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111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84"/>
        <w:gridCol w:w="2384"/>
        <w:gridCol w:w="5470"/>
      </w:tblGrid>
      <w:tr>
        <w:trPr>
          <w:cantSplit/>
          <w:tblHeader/>
        </w:trPr>
        <w:tc>
          <w:tcPr>
            <w:tcW w:type="dxa" w:w="1784"/>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384"/>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47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Santé du parc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 et points à vérifier dans la même carte ; un point déplie ses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 (catalogue seulement)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93"/>
        <w:gridCol w:w="1263"/>
        <w:gridCol w:w="1263"/>
        <w:gridCol w:w="4819"/>
      </w:tblGrid>
      <w:tr>
        <w:trPr>
          <w:cantSplit/>
          <w:tblHeader/>
        </w:trPr>
        <w:tc>
          <w:tcPr>
            <w:tcW w:type="dxa" w:w="2293"/>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81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en double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Même nom et même version présents dans plusieurs architectures, portées ou profils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
      <w:r>
        <w:t xml:space="preserve">10 Requêtes WMI du catalogue</w:t>
      </w:r>
      <w:bookmarkEnd w:id="1"/>
    </w:p>
    <w:p>
      <w:pPr>
        <w:keepNext w:val="false"/>
      </w:pPr>
      <w:r>
        <w:t xml:space="preserve">Le catalogue propose 111 sondes WMI en lecture seule : les 78 sondes historiques listées plus bas et 33 sondes détaillées. On les ajoute comme widgets aux tableaux du poste et du parc depuis l'éditeur. Elles partent après confirmation sur le périmètre annoncé : « Actualiser les requetes » sur le tableau du poste interroge le poste sélectionné ; « Matériel et widgets » de « Vérifier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 Matériel et widgets » de « Vérifier la liste » dans Rechercher. Les requêtes des widgets présents sont regroupées, sans doublon.</w:t>
      </w:r>
    </w:p>
    <w:p>
      <w:pPr>
        <w:ind w:left="340" w:hanging="340"/>
      </w:pPr>
      <w:r>
        <w:rPr>
          <w:b/>
          <w:bCs/>
        </w:rPr>
        <w:t xml:space="preserve">2. </w:t>
      </w:r>
      <w:r>
        <w:rPr>
          <w:b/>
          <w:bCs/>
        </w:rPr>
        <w:t xml:space="preserve">Confirmer.</w:t>
      </w:r>
      <w:r>
        <w:t xml:space="preserve"> Poste comme parc, la confirmation dans la page sʼintitule « Relevé des postes : … », ici « matériel et widgets », et son bouton « Analyser N postes » donne le nombre de postes visés ; elle annonce aussi le nombre de requêtes.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54"/>
        <w:gridCol w:w="5484"/>
      </w:tblGrid>
      <w:tr>
        <w:trPr>
          <w:cantSplit/>
          <w:tblHeader/>
        </w:trPr>
        <w:tc>
          <w:tcPr>
            <w:tcW w:type="dxa" w:w="415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8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Pas de bouton « Actualiser les requetes » sur le tableau du poste</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Le tableau ne contient aucun widget de requête : ajoutez-en un avec « Ajouter un widget ».</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 Aucun poste sélectionné. »</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Le catalogue exploitable compte 111 sondes : les 78 sondes historiques des tableaux ci-dessous et 33 sondes détaillées, dont chaque fiche (« Contrat de la sonde » dans ses détails) dit la classe, les droits, le coût et ce qu'elle ne prouve pas : par exemple l'identité EDID et le raccordement des écrans, ou les indices de station dʼaccueil, qui ne sont jamais une identification. L'ancienne requête sur le contrôle de compte (EnableLUA) a été retirée : elle ne mesurait pas l'état réel.</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
      <w:r>
        <w:t xml:space="preserve">11 Tableau des logiciels</w:t>
      </w:r>
      <w:bookmarkEnd w:id="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1"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
      <w:r>
        <w:t xml:space="preserve">12 Relations utilisateur et poste</w:t>
      </w:r>
      <w:bookmarkEnd w:id="1"/>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Qui est connecté ? » et « Matériel et widgets » de « Vérifier la liste » lisent l'utilisateur console ; l'association est actualisée si elle change.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relevés » efface l'état du parc (dernier passage, statut, tentatives), en mémoire et dans la base locale, après une confirmation dans la page et une sauvegarde vérifiée de la base. Les associations sont conservées ; le prochain relevé repart de zéro.</w:t>
      </w:r>
    </w:p>
    <w:p>
      <w:r>
        <w:rPr>
          <w:b/>
          <w:bCs/>
        </w:rPr>
        <w:t xml:space="preserve">À savoir. </w:t>
      </w:r>
      <w:r>
        <w:t xml:space="preserve">La case « Relevé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
      <w:r>
        <w:t xml:space="preserve">13 Comptes et droits</w:t>
      </w:r>
      <w:bookmarkEnd w:id="1"/>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1" name="connexion" descr="Fenêtre de connexion : Compte Windows, Mot de passe, Se souvenir de mon identifiant, Se connecter et Continuer en tant que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Se souvenir de mon identifiant, Se connecter et Continuer en tant que …</w:t>
      </w:r>
    </w:p>
    <w:p>
      <w:pPr>
        <w:pStyle w:val="ListParagraph"/>
        <w:numPr>
          <w:ilvl w:val="0"/>
          <w:numId w:val="2"/>
        </w:numPr>
      </w:pPr>
      <w:r>
        <w:t xml:space="preserve">En session Windows de domaine, l'action principale est « Continuer en tant que DOMAINE\nom » (bouton par défaut, Entrée) et le formulaire est replié sous « Utiliser un autre compte ». Ailleurs, ou après « Changer de compte » dans la page « Comptes », le formulaire s'affiche d'abord et la session Windows reste proposée dessous.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Afficher », à droite du mot de passe, le montre pendant 5 secondes dans une zone en lecture seule, sans copie possible ; il se masque aussi au second clic ou dès que la saisie change.</w:t>
      </w:r>
    </w:p>
    <w:p>
      <w:pPr>
        <w:pStyle w:val="ListParagraph"/>
        <w:numPr>
          <w:ilvl w:val="0"/>
          <w:numId w:val="2"/>
        </w:numPr>
      </w:pPr>
      <w:r>
        <w:t xml:space="preserve">« Se souvenir de mon identifiant », décochée par défaut, garde l'identifiant dans HKCU:\Software\DOMENIA (valeurs RememberLogin et LastLogin) après une connexion réussie. Le mot de passe n'est jamais mémorisé par cette case.</w:t>
      </w:r>
    </w:p>
    <w:p>
      <w:pPr>
        <w:pStyle w:val="ListParagraph"/>
        <w:numPr>
          <w:ilvl w:val="0"/>
          <w:numId w:val="2"/>
        </w:numPr>
      </w:pPr>
      <w:r>
        <w:t xml:space="preserve">« Continuer en tant que DOMAINE\nom » s'appuie sur la session Windows courante, sans mot de passe. Il n'apparaît que si Auth.AllowWindowsSession est vrai (défaut) ; hors session de domaine (SYSTEM, compte local ou compte d'ordinateur), il devient « Utiliser mon compte Windows », grisé.</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p>
      <w:pPr>
        <w:keepNext w:val="false"/>
      </w:pPr>
      <w:r>
        <w:t xml:space="preserve">Chaque refus s'affiche en une phrase suivie de l'action à mener. Le code Active Directory (52e, 775, 0x80070775…) ne s'affiche pas : il figure dans le texte de « Copier le diagnostic » et dans le journal de connexion.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42"/>
        <w:gridCol w:w="3092"/>
        <w:gridCol w:w="904"/>
      </w:tblGrid>
      <w:tr>
        <w:trPr>
          <w:cantSplit/>
          <w:tblHeader/>
        </w:trPr>
        <w:tc>
          <w:tcPr>
            <w:tcW w:type="dxa" w:w="564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3092"/>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904"/>
            <w:shd w:fill="E3EDF9" w:color="auto" w:val="clear"/>
            <w:tcMar>
              <w:top w:type="dxa" w:w="95"/>
              <w:left w:type="dxa" w:w="120"/>
              <w:bottom w:type="dxa" w:w="95"/>
              <w:right w:type="dxa" w:w="120"/>
            </w:tcMar>
            <w:vAlign w:val="center"/>
          </w:tcPr>
          <w:p>
            <w:pPr>
              <w:spacing w:after="0"/>
            </w:pPr>
            <w:r>
              <w:rPr>
                <w:b/>
                <w:bCs/>
                <w:color w:val="000000"/>
                <w:sz w:val="19"/>
                <w:szCs w:val="19"/>
              </w:rPr>
              <w:t xml:space="preserve">Code AD dans le diagnostic</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refusé. Vérifiez la saisie avant un nouvel essai.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52e, 0x8007052E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inconnu de lʼannuaire.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Identifiant ou domaine erroné.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verrouillé. Demandez son déverrouillage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verrouillé dans AD.</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775, 0x80070775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désactivé. Demandez sa réactivation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désactivé.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expiré. Changez-le (Ctrl+Alt+Suppr, Modifier un mot de passe)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532</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à changer avant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Changement imposé à la prochaine ouverture de session.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refusée par une restriction du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Le plus souvent un mot de passe expiré ; sinon postes ou horaires autorisés.</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52f</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interdite à cette heure pour ce compte. … » ou « Connexion interdite depuis ce poste pour ce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Horaires ou postes autorisés du compte.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530, 531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expiré.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Date d'expiration du compte dépassée.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701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Accès refusé par lʼannuaire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 pendant la lecture du domaine.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0x80070005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Contrôleur de domaine injoignable. … » ou « Délai dépassé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Réseau, DNS ou VPN.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Elle ne prouve pas un mauvais mot de passe.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Défaut de Domenia.</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identités de connexion » s'ouvre par le menu « Comptes » ou par la carte « Identités de connexion » de l'accueil. Elle applique la règle affichée sous « Règle dʼexécution » : « Annuaire : compte de connexion. Postes : compte poste saisi dans Assistance poste sʼil existe, sinon compte Postes, sinon compte de connexion. Secrets : compte Secrets sʼil existe, sinon compte de connexion. Les trois ressources sont indépendantes.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51"/>
        <w:gridCol w:w="4439"/>
        <w:gridCol w:w="4248"/>
      </w:tblGrid>
      <w:tr>
        <w:trPr>
          <w:cantSplit/>
          <w:tblHeader/>
        </w:trPr>
        <w:tc>
          <w:tcPr>
            <w:tcW w:type="dxa" w:w="95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439"/>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4248"/>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 Carte en lecture seule : compte réellement lié, mode de connexion (session Windows ou compte saisi), contrôleur et domaine.</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Changer de compte » : connexion préremplie avec le compte saisi pour la session, formulaire d'abord ; « Annuler » garde la session en cours. Rien n'est écrit dans les préférences.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EN CE MOMENT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Compte réellement utilisé par chaque ressource (annuaire, opération d'annuaire qui a reçu son propre compte temporaire, postes, LAPS, BitLocker) et son origine, puis les comptes gardés en mémoire avec leur durée restante. Aucun mot de passe n'est affiché.</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Oublier » sur chaque compte gardé en mémoire.</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Activer », « Essayer sur le poste sélectionné », « Effacer ».</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poste saisi dans le panneau « Compte poste » d'Assistance poste passe avant le compte « POSTES / WMI / DISTANT » (chapitre 5).</w:t>
      </w:r>
    </w:p>
    <w:p>
      <w:pPr>
        <w:pStyle w:val="ListParagraph"/>
        <w:numPr>
          <w:ilvl w:val="0"/>
          <w:numId w:val="2"/>
        </w:numPr>
      </w:pPr>
      <w:r>
        <w:t xml:space="preserve">« Essayer sur le poste sélectionné », grisé sans poste ouvert dans Assistance poste, fait au clic une seule lecture WMI légère (Win32_OperatingSystem) du poste ouvert avec le compte utilisé pour les postes. Réponses : « Accès administrateur OK sur … », « Accès refusé sur … : droit administrateur requis sur ce poste. », « Identifiants refusés par … », « Poste … injoignable (réseau, nom ou service WMI) ». Aucun relevé, aucun autre poste, aucun repli intrusif.</w:t>
      </w:r>
    </w:p>
    <w:p>
      <w:pPr>
        <w:pStyle w:val="ListParagraph"/>
        <w:numPr>
          <w:ilvl w:val="0"/>
          <w:numId w:val="2"/>
        </w:numPr>
      </w:pPr>
      <w:r>
        <w:t xml:space="preserve">Un compte temporaire accepté après un refus passe avant, pour sa seule ressource et son poste. Il est oublié après Security.AlternateCredentialIdleMinutes (30 min) sans usage, à la fin de la session, par la fenêtre du bouton d'accès ou par « Oublier » dans « EN CE MOMENT ». « Oublier » efface aussi le refus enregistré pour cette ressource : le compte configuré reprend la main dès l'opération suivante. Il est refusé tant qu'une écriture reste active ou à vérifier ; une opération déjà envoyée garde sa copie du compte.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autorisé à lire LAPS et BitLocker dans Active Directory. »</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
      <w:r>
        <w:t xml:space="preserve">14 Lecture seule démonstration et protection des écritures</w:t>
      </w:r>
      <w:bookmarkEnd w:id="1"/>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 Exécuter un programme… », « Redémarrer… » et les commandes de service sont grisés ; une action préparée juste avant le passage en lecture seule est refusée à sa confirmation.</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Tant qu'un reçu attend une vérification, la pastille « 1 opération à vérifier » (ou « N opérations à vérifier ») s'affiche dans l'en-tête de page ; elle ouvre la liste des reçus. Rien n'est rejoué depuis cette liste.</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est la fenêtre de connexion standard à laquelle s'ajoute, sous le formulaire, le volet « Diagnostic de connexion » : l'étape en cours et la trace technique, en direct (titre « Domenia · Connexion · diagnostic »). Le reste de la fenêtre est identique ; la trace est celle que copie « Copier le diagnostic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
      <w:r>
        <w:t xml:space="preserve">15 Architecture</w:t>
      </w:r>
      <w:bookmarkEnd w:id="1"/>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accès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
      <w:r>
        <w:t xml:space="preserve">16 Installation et mise à jour</w:t>
      </w:r>
      <w:bookmarkEnd w:id="1"/>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de contenu : « Empreinte invalide sur … fichier(s) du runtime. », suivi de la liste des fichiers en cause ; rien n'est débloqué.</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précédent restauré. Version avant : … ; version après : … », puis « wad\data et les préférences conservées nʼont pas été modifiés. », suivi de lʼavis sur le schéma de la base locale.</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
      <w:r>
        <w:t xml:space="preserve">17 Réglages et configuration</w:t>
      </w:r>
      <w:bookmarkEnd w:id="1"/>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991"/>
        <w:gridCol w:w="6647"/>
      </w:tblGrid>
      <w:tr>
        <w:trPr>
          <w:cantSplit/>
          <w:tblHeader/>
        </w:trPr>
        <w:tc>
          <w:tcPr>
            <w:tcW w:type="dxa" w:w="2991"/>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647"/>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 Le choix « Automatique (suit Windows) » des préférences lit AppsUseLightTheme sous HKCU, en lecture seule ; un thème Windows à contraste élevé impose ses couleurs système.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DOC\Domenia-1.0-Guide-technicien.pdf, DOC\Domenia-1.0-Guide-administrateur.pdf</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Facultatifs : guides ouverts par « Ouvrir le guide » du panneau d'aide. Le dossier DOC se place à côté de Domenia (dossier du programme ou ses deux parents) ; sans lui, l'aide indique le chapitre à lire.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Se souvenir de mon identifiant ». Valeur du fichier remplacée par RememberLogin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Propose la session Windows : « Continuer en tant que DOMAINE\nom » en action principale dans une session de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de « + utilisateur connecté » tant que l'opérateur ne l'a pas changée.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Park.MaxTargets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Plafond d'un relevé de la liste ou de sa sélection : « Vérifier la liste » et la barre de la sélection refusent au-delà (5 000 au plus). La collecte d'un widget le respecte aussi, comptée sur les postes à lire.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Dashboard.DefaultLayoutComputer, DefaultLayoutFleet, DefaultLayoutSoftware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Disposition de l'équipe pour le tableau du poste, de l'Accueil ou des logiciels : le fichier produit par « Exporter », sa liste « Layout » ou le même JSON en texte. Appliquée aux tableaux jamais personnalisés et par « Par défaut » ; une valeur illisible, vide ou d'un autre tableau est ignorée.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Objets par page de recherche LDAP (100 à 1 000).</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 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60, 90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LDAP : serveur de 60 à 300 s ; client ≥ serveur + 30 s, jusqu’à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p>
      <w:pPr>
        <w:keepNext w:val="false"/>
      </w:pPr>
      <w:r>
        <w:t xml:space="preserve">Pour la recherche globale, seuls les nouveaux objets reçus d’AD relancent le délai d’inactivité ; les lignes du cache et leur affichage ne comptent pas. Le plafond total reste fixe et la file d’attente est exclue. La taille de page LDAP ne change ni le périmètre ni la limite de résultats.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SearchMaxDurationSeconds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120, 900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globale : inactivité AD de 120 à 600 s (plancher automatique) ; durée totale ≥ inactivité, jusqu’à 3 600 s, hors attente.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fiches et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Ancien nombre de sauvegardes gardées (2 à 30). Les sauvegardes faites depuis Stockage, manuelles, automatiques ou avant un geste, suivent « Copies à conserver ».</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 DatabaseBusyTimeoutMs (borné de 100 à 5000 ms) vaut pour l'interface et pour tous les workers ; les attentes dépassées sont comptées dans le panneau Opérations.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personnelles sauvegardées, dans la limite de 100 recettes et 1 Mio ;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
      <w:r>
        <w:t xml:space="preserve">18 Base autonome</w:t>
      </w:r>
      <w:bookmarkEnd w:id="1"/>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 une ligne résume la base (« Base du domaine example.local · 4,2 Mo · sauvegardée il y a 2 h »). Le chemin exact s’affiche dans son infobulle et « Copier le chemin » le place dans le presse-papiers. Une alerte s’affiche quand la base n’a jamais été sauvegardée ou que sa dernière sauvegarde a plus de 7 jours. « Ouvrir lʼemplacement » ouvre l’Explorateur sur le fichier. Sous les commandes de l’assistant, une ligne donne l’espace libre mesuré du volume de la base et ce qui attend encore son enregistrement (voir « Espace disque » plus bas).</w:t>
      </w:r>
    </w:p>
    <w:p>
      <w:pPr>
        <w:pStyle w:val="Heading2"/>
        <w:keepNext/>
      </w:pPr>
      <w:r>
        <w:t xml:space="preserve">Déplacer la base</w:t>
      </w:r>
    </w:p>
    <w:p>
      <w:pPr>
        <w:keepNext w:val="false"/>
      </w:pPr>
      <w:r>
        <w:t xml:space="preserve">« Déplacer la base… » copie la base vers un nouveau fichier local, la vérifie, puis la met en service. L’original n’est jamais supprimé.</w:t>
      </w:r>
    </w:p>
    <w:p>
      <w:pPr>
        <w:ind w:left="340" w:hanging="340"/>
      </w:pPr>
      <w:r>
        <w:rPr>
          <w:b/>
          <w:bCs/>
        </w:rPr>
        <w:t xml:space="preserve">1. </w:t>
      </w:r>
      <w:r>
        <w:rPr>
          <w:b/>
          <w:bCs/>
        </w:rPr>
        <w:t xml:space="preserve">Choisir.</w:t>
      </w:r>
      <w:r>
        <w:t xml:space="preserve"> Indiquez un nouveau fichier .db dans un dossier local existant. Un fichier existant, la base active ou un nom déjà accompagné de fichiers -wal, -shm ou -journal sont refusés.</w:t>
      </w:r>
    </w:p>
    <w:p>
      <w:pPr>
        <w:ind w:left="340" w:hanging="340"/>
      </w:pPr>
      <w:r>
        <w:rPr>
          <w:b/>
          <w:bCs/>
        </w:rPr>
        <w:t xml:space="preserve">2. </w:t>
      </w:r>
      <w:r>
        <w:rPr>
          <w:b/>
          <w:bCs/>
        </w:rPr>
        <w:t xml:space="preserve">Vérifier.</w:t>
      </w:r>
      <w:r>
        <w:t xml:space="preserve"> Le worker StorageMaintenance lit la source en lecture seule (PRAGMA quick_check, domaine, révision, nombre de lignes), mesure l’espace libre de la destination et exige deux fois la taille de la base plus 32 Mo. Il crée puis supprime un fichier sonde dans le dossier choisi pour prouver l’écriture.</w:t>
      </w:r>
    </w:p>
    <w:p>
      <w:pPr>
        <w:ind w:left="340" w:hanging="340"/>
      </w:pPr>
      <w:r>
        <w:rPr>
          <w:b/>
          <w:bCs/>
        </w:rPr>
        <w:t xml:space="preserve">3. </w:t>
      </w:r>
      <w:r>
        <w:rPr>
          <w:b/>
          <w:bCs/>
        </w:rPr>
        <w:t xml:space="preserve">Confirmer.</w:t>
      </w:r>
      <w:r>
        <w:t xml:space="preserve"> L’aperçu donne la taille, l’espace libre, la réserve exigée et le retour arrière. « Copier, vérifier puis utiliser la nouvelle base » lance la copie ; « Conserver la base actuelle » annule sans rien écrire.</w:t>
      </w:r>
    </w:p>
    <w:p>
      <w:pPr>
        <w:ind w:left="340" w:hanging="340"/>
      </w:pPr>
      <w:r>
        <w:rPr>
          <w:b/>
          <w:bCs/>
        </w:rPr>
        <w:t xml:space="preserve">4. </w:t>
      </w:r>
      <w:r>
        <w:rPr>
          <w:b/>
          <w:bCs/>
        </w:rPr>
        <w:t xml:space="preserve">Copier.</w:t>
      </w:r>
      <w:r>
        <w:t xml:space="preserve"> Les nouvelles collectes (passes AD, relevés de postes, actualisation d’OU) sont suspendues dès l’ouverture de l’assistant. La file d’enregistrement est vidée avant la copie (120 s au plus). Si des écritures arrivent entre l’aperçu et la confirmation, elles sont enregistrées puis un nouvel aperçu est demandé. Pendant la copie, aucune écriture locale n’est admise ; les lectures restent possibles. Une association, une requête enregistrée ou une reprise d’anciennes données faite à ce moment est refusée avec le message « Maintenance de la base locale en cours : modification non enregistrée » : refaites-la à la fin de l’assistant. La copie passe par l’API de sauvegarde SQLite, puis elle est contrôlée et identifiée avant sa publication atomique.</w:t>
      </w:r>
    </w:p>
    <w:p>
      <w:pPr>
        <w:ind w:left="340" w:hanging="340"/>
      </w:pPr>
      <w:r>
        <w:rPr>
          <w:b/>
          <w:bCs/>
        </w:rPr>
        <w:t xml:space="preserve">5. </w:t>
      </w:r>
      <w:r>
        <w:rPr>
          <w:b/>
          <w:bCs/>
        </w:rPr>
        <w:t xml:space="preserve">Basculer.</w:t>
      </w:r>
      <w:r>
        <w:t xml:space="preserve"> L’original reçoit un marqueur qui le garde en lecture seule. Message : « Étape 3 sur 3 : base vérifiée en service : » suivi du chemin.</w:t>
      </w:r>
    </w:p>
    <w:p>
      <w:pPr>
        <w:keepNext w:val="false"/>
      </w:pPr>
      <w:r>
        <w:t xml:space="preserve">Tant que la nouvelle base n’a reçu aucune écriture, « Revenir à la base précédente » reste disponible dans la même session : le worker vérifie que la révision de la copie n’a pas bougé, retire le marqueur, puis Domenia revient à l’original. Après une écriture, le retour est refusé et les deux fichiers sont conservés.</w:t>
      </w:r>
    </w:p>
    <w:p>
      <w:pPr>
        <w:keepNext w:val="false"/>
      </w:pPr>
      <w:r>
        <w:t xml:space="preserve">Un refus avant la copie (destination prise, espace insuffisant, source modifiée depuis l’aperçu) ne publie rien : « Maintenance locale non effectuée : » suivi du motif, et les collectes reprennent. Toute autre interruption laisse la base verrouillée ; au démarrage suivant, Domenia détecte le marqueur et propose « Reprendre la bascule » ou « Revenir à la base précédente ». Les éléments collectés pour l’ancienne base pendant la copie ne sont pas enregistrés dans la nouvelle ; leur nombre est affiché.</w:t>
      </w:r>
    </w:p>
    <w:p>
      <w:pPr>
        <w:pStyle w:val="Heading2"/>
        <w:keepNext/>
      </w:pPr>
      <w:r>
        <w:t xml:space="preserve">Mettre à jour la base</w:t>
      </w:r>
    </w:p>
    <w:p>
      <w:pPr>
        <w:keepNext w:val="false"/>
      </w:pPr>
      <w:r>
        <w:t xml:space="preserve">La même lecture AD peut être lancée avec « Objets AD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déplacer, sauvegarder, restaurer, contrôler ou mesurer toute la base, régler la conservation par famille, puis préparer une purge par catégories sur cette base.</w:t>
            </w:r>
          </w:p>
        </w:tc>
      </w:tr>
    </w:tbl>
    <w:p>
      <w:pPr>
        <w:spacing w:after="60"/>
      </w:pPr>
    </w:p>
    <w:p>
      <w:pPr>
        <w:keepNext/>
        <w:spacing w:after="60" w:before="120"/>
        <w:jc w:val="center"/>
      </w:pPr>
      <w:r>
        <w:drawing>
          <wp:inline distT="0" distB="0" distL="0" distR="0">
            <wp:extent cx="5762625" cy="1323975"/>
            <wp:effectExtent t="0" r="0" b="0" l="0"/>
            <wp:docPr id="1"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1"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quatre tuiles résument la copie locale : « Comptes », « Postes » (actifs et désactivés), « Associations » et « Dernière mise à jour » du périmètre choisi. Dépliez « Détails du stockage et de la synchronisation » pour relire le contrôleur de la dernière lecture et les totaux. Le repère de suivi (USN) et la durée des lectures AD sont écrits dans le journal.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Contrôleur utilisé et totaux ; ces repères ne décrivent pas l’âge des mesures des postes. Le chemin du fichier se lit dans « Stockage ».</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et ses tuiles,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attendez précisément ce stockage avant de lancer « Ping » ou « WMI » sur un recensement relu.</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04"/>
        <w:gridCol w:w="2260"/>
        <w:gridCol w:w="5374"/>
      </w:tblGrid>
      <w:tr>
        <w:trPr>
          <w:cantSplit/>
          <w:tblHeader/>
        </w:trPr>
        <w:tc>
          <w:tcPr>
            <w:tcW w:type="dxa" w:w="2004"/>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60"/>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374"/>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false"/>
        </w:trPr>
        <w:tc>
          <w:tcPr>
            <w:tcW w:type="dxa" w:w="2004"/>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60"/>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374"/>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plus récentes sont gardées, autant que « Copies à conserver » (7 par défaut, réglé dans « Sauvegardes automatiques et conservation »).</w:t>
      </w:r>
    </w:p>
    <w:p>
      <w:r>
        <w:rPr>
          <w:b/>
          <w:bCs/>
        </w:rPr>
        <w:t xml:space="preserve">Résultat attendu. </w:t>
      </w:r>
      <w:r>
        <w:t xml:space="preserve">« Sauvegarde de la base enregistrée : » suivi du chemin. Le résumé de l'encadré passe à « sauvegardée à lʼinstant ».</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pPr>
        <w:keepNext w:val="false"/>
      </w:pPr>
      <w:r>
        <w:t xml:space="preserve">Chaque sauvegarde réussie, qu’elle soit manuelle, automatique ou faite avant un geste, est contrôlée par SQLite (PRAGMA quick_check) puis par l’empreinte SHA-256 du fichier produit. Seule une sauvegarde ainsi vérifiée devient la « Dernière sauvegarde vérifiée : » de la base, avec sa date, sa taille et le début de son empreinte ; c’est elle que résume la ligne de l’encadré (« sauvegardée il y a … »). Un reçu sans contrôle ou sans empreinte est traité comme un échec.</w:t>
      </w:r>
    </w:p>
    <w:p>
      <w:pPr>
        <w:keepNext w:val="false"/>
      </w:pPr>
      <w:r>
        <w:rPr>
          <w:b/>
          <w:bCs/>
        </w:rPr>
        <w:t xml:space="preserve">Sauvegarde automatique.</w:t>
      </w:r>
      <w:r>
        <w:t xml:space="preserve"> Dans « Sauvegardes automatiques et conservation », cochez « Sauvegarder automatiquement pendant que Domenia est ouvert », réglez « Intervalle (heures) » (1 à 720) et « Copies à conserver » (2 à 30), puis « Enregistrer les réglages ». « Copies à conserver » vaut aussi pour les sauvegardes manuelles et pour celles faites avant un geste. Domenia vérifie l’échéance une fois par minute, tant qu’il est ouvert. La sauvegarde attend la fin des opérations et des enregistrements en cours ; après un échec, un nouvel essai part au plus tôt 15 minutes plus tard. La ligne d’état sous les réglages donne la fréquence, la prochaine échéance, la dernière sauvegarde vérifiée et le dernier échec de la session, quelle que soit la sauvegarde qui a échoué.</w:t>
      </w:r>
    </w:p>
    <w:p>
      <w:r>
        <w:rPr>
          <w:b/>
          <w:bCs/>
        </w:rPr>
        <w:t xml:space="preserve">Attention. </w:t>
      </w:r>
      <w:r>
        <w:t xml:space="preserve">La sauvegarde automatique est désactivée par défaut. Elle ne tourne que lorsque Domenia est ouvert, et dans le dossier Backups du même disque. En dehors d'elle, Domenia sauvegarde la base de lui-même avant une migration de schéma (dans Backups\migrations, hors rotation) et avant les gestes qui la modifient (ci-dessous). Gardez une copie hors du poste avec « Copier une sauvegarde vers... ».</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keepNext/>
      </w:pPr>
      <w:r>
        <w:rPr>
          <w:b/>
          <w:bCs/>
        </w:rPr>
        <w:t xml:space="preserve">Sauvegarde avant les gestes qui modifient la base</w:t>
      </w:r>
    </w:p>
    <w:p>
      <w:pPr>
        <w:keepNext w:val="false"/>
      </w:pPr>
      <w:r>
        <w:t xml:space="preserve">Quatre gestes passent d'abord par une sauvegarde vérifiée de la base, faite par le worker StorageBackup dans le dossier Backups sous le nom Geste-DATE.db. Elles suivent la même vérification que les autres sauvegardes (contrôle SQLite et empreinte SHA-256) et deviennent la dernière sauvegarde vérifiée de la base. Ces copies tournent à part : les plus récentes sont gardées, autant que « Copies à conserver » (7 par défaut), et elles ne retirent jamais les copies automatiques ou manuelles (Domenia-DATE.db) :</w:t>
      </w:r>
    </w:p>
    <w:p>
      <w:pPr>
        <w:pStyle w:val="ListParagraph"/>
        <w:numPr>
          <w:ilvl w:val="0"/>
          <w:numId w:val="2"/>
        </w:numPr>
      </w:pPr>
      <w:r>
        <w:t xml:space="preserve">la relecture AD d'une OU (« Mettre à jour lʼOU choisie » dans Base autonome, « Objets AD » depuis Accueil ou Rechercher) ;</w:t>
      </w:r>
    </w:p>
    <w:p>
      <w:pPr>
        <w:pStyle w:val="ListParagraph"/>
        <w:numPr>
          <w:ilvl w:val="0"/>
          <w:numId w:val="2"/>
        </w:numPr>
      </w:pPr>
      <w:r>
        <w:t xml:space="preserve">l'import CSV des associations ;</w:t>
      </w:r>
    </w:p>
    <w:p>
      <w:pPr>
        <w:pStyle w:val="ListParagraph"/>
        <w:numPr>
          <w:ilvl w:val="0"/>
          <w:numId w:val="2"/>
        </w:numPr>
      </w:pPr>
      <w:r>
        <w:t xml:space="preserve">le retrait des associations orphelines ;</w:t>
      </w:r>
    </w:p>
    <w:p>
      <w:pPr>
        <w:pStyle w:val="ListParagraph"/>
        <w:numPr>
          <w:ilvl w:val="0"/>
          <w:numId w:val="2"/>
        </w:numPr>
      </w:pPr>
      <w:r>
        <w:t xml:space="preserve">« Oublier les relevés ».</w:t>
      </w:r>
    </w:p>
    <w:p>
      <w:pPr>
        <w:keepNext w:val="false"/>
      </w:pPr>
      <w:r>
        <w:t xml:space="preserve">La confirmation de l'import, du retrait et de l'oubli des relevés l'annonce : « Une sauvegarde vérifiée de la base sera faite avant. ». Une sauvegarde vérifiée de moins de 30 minutes sert de point de retour : aucune nouvelle copie n'est faite et la confirmation le dit. Le geste ne démarre qu'après le reçu de la sauvegarde. Si elle échoue, rien n'est lancé : la page propose « Ne pas lancer » ou « Continuer sans sauvegarde », et ce second choix est écrit dans le journal. La base de démonstration et un domaine sans base encore créée ne sont pas sauvegardés. Pendant le déplacement ou la restauration de la base, ces gestes sont refusés avec le motif de la maintenance (« Maintenance de la base locale en cours : modification non enregistrée »), sans proposer de continuer sans sauvegarde.</w:t>
      </w:r>
    </w:p>
    <w:p>
      <w:pPr>
        <w:keepNext w:val="false"/>
      </w:pPr>
      <w:r>
        <w:t xml:space="preserve">Le geste porte sur ce qui a été confirmé au clic. Si une autre OU ou un autre aperçu CSV est choisi pendant la sauvegarde, rien n'est lu ni importé : « Actualisation non lancée : lʼOU, la base ou la session a changé pendant la sauvegarde ; aucune lecture AD. Cliquez à nouveau pour lʼOU affichée. » ou « Lʼaperçu a changé pendant la sauvegarde : rien nʼest importé. Vérifiez lʼaperçu affiché puis cliquez « Importer ». ». Le retrait des orphelines porte sur les lignes cochées au moment de la confirmation, même si les cases changent pendant la sauvegarde. « Annuler » pendant la sauvegarde arrête la copie, et le geste n'est pas lancé.</w:t>
      </w:r>
    </w:p>
    <w:p>
      <w:pPr>
        <w:pStyle w:val="Heading2"/>
        <w:keepNext/>
      </w:pPr>
      <w:r>
        <w:t xml:space="preserve">Restaurer une sauvegarde</w:t>
      </w:r>
    </w:p>
    <w:p>
      <w:pPr>
        <w:keepNext w:val="false"/>
      </w:pPr>
      <w:r>
        <w:t xml:space="preserve">« Restaurer une sauvegarde… » restaure une sauvegarde dans un nouveau fichier local. La sauvegarde choisie n’est jamais modifiée et la base active n’est jamais écrasée.</w:t>
      </w:r>
    </w:p>
    <w:p>
      <w:pPr>
        <w:ind w:left="340" w:hanging="340"/>
      </w:pPr>
      <w:r>
        <w:rPr>
          <w:b/>
          <w:bCs/>
        </w:rPr>
        <w:t xml:space="preserve">1. </w:t>
      </w:r>
      <w:r>
        <w:rPr>
          <w:b/>
          <w:bCs/>
        </w:rPr>
        <w:t xml:space="preserve">Choisir.</w:t>
      </w:r>
      <w:r>
        <w:t xml:space="preserve"> Sélectionnez la sauvegarde (le dossier Backups de la base est proposé), puis le nouveau fichier de la base restaurée.</w:t>
      </w:r>
    </w:p>
    <w:p>
      <w:pPr>
        <w:ind w:left="340" w:hanging="340"/>
      </w:pPr>
      <w:r>
        <w:rPr>
          <w:b/>
          <w:bCs/>
        </w:rPr>
        <w:t xml:space="preserve">2. </w:t>
      </w:r>
      <w:r>
        <w:rPr>
          <w:b/>
          <w:bCs/>
        </w:rPr>
        <w:t xml:space="preserve">Comparer.</w:t>
      </w:r>
      <w:r>
        <w:t xml:space="preserve"> L’aperçu donne le domaine, la date d’écriture du fichier, le dernier lot enregistré, la dernière mesure, le contenu (objets AD, mesures, détails, associations, requêtes, reçus) et l’écart avec la base active. Une date absente est dite inconnue.</w:t>
      </w:r>
    </w:p>
    <w:p>
      <w:pPr>
        <w:ind w:left="340" w:hanging="340"/>
      </w:pPr>
      <w:r>
        <w:rPr>
          <w:b/>
          <w:bCs/>
        </w:rPr>
        <w:t xml:space="preserve">3. </w:t>
      </w:r>
      <w:r>
        <w:rPr>
          <w:b/>
          <w:bCs/>
        </w:rPr>
        <w:t xml:space="preserve">Restaurer.</w:t>
      </w:r>
      <w:r>
        <w:t xml:space="preserve"> Après confirmation, la copie est vérifiée puis mise en service avec la même bascule que le déplacement. Les écritures postérieures à la sauvegarde ne sont plus visibles ; la base précédente reste disponible par « Revenir à la base précédente » tant que la base restaurée n’a reçu aucune écriture.</w:t>
      </w:r>
    </w:p>
    <w:p>
      <w:pPr>
        <w:ind w:left="340" w:hanging="340"/>
      </w:pPr>
      <w:r>
        <w:rPr>
          <w:b/>
          <w:bCs/>
        </w:rPr>
        <w:t xml:space="preserve">4. </w:t>
      </w:r>
      <w:r>
        <w:rPr>
          <w:b/>
          <w:bCs/>
        </w:rPr>
        <w:t xml:space="preserve">Rattraper.</w:t>
      </w:r>
      <w:r>
        <w:t xml:space="preserve"> Relisez les OU suivies dans « Mise à jour » pour retrouver les objets AD récents.</w:t>
      </w:r>
    </w:p>
    <w:p>
      <w:pPr>
        <w:keepNext w:val="false"/>
      </w:pPr>
      <w:r>
        <w:rPr>
          <w:b/>
          <w:bCs/>
        </w:rPr>
        <w:t xml:space="preserve">Base illisible au démarrage.</w:t>
      </w:r>
      <w:r>
        <w:t xml:space="preserve"> Si SQLite prouve la corruption (code 11 ou 26, quick_check en échec), Domenia démarre en mode restauration : « Base locale illisible, laissée intacte : » suivi du chemin. Les collectes restent suspendues et seul « Restaurer une sauvegarde… » est actif ; ce qui attendait son enregistrement pour la base illisible ne retarde pas la restauration et son nombre est affiché après la bascule. Une modification saisie dans ce mode est refusée avec le message « Base locale illisible : modification non enregistrée ». Le fichier illisible n’est ni modifié ni marqué ; aucun retour vers lui n’est proposé. Un verrou, un schéma inconnu ou un autre domaine ne sont pas une corruption : la base est alors refusée intacte, comme avant.</w:t>
      </w:r>
    </w:p>
    <w:p>
      <w:pPr>
        <w:keepNext w:val="false"/>
      </w:pPr>
      <w:r>
        <w:rPr>
          <w:b/>
          <w:bCs/>
        </w:rPr>
        <w:t xml:space="preserve">Restauration manuelle</w:t>
      </w:r>
      <w:r>
        <w:t xml:space="preserve">, Domenia fermé, si l’application ne peut pas démarrer :</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keepNext w:val="false"/>
      </w:pPr>
      <w:r>
        <w:t xml:space="preserve">La mise à niveau du schéma se fait dans une seule transaction. Avant de la valider, Domenia vérifie que les tables et les colonnes attendues existent ; s’il en manque, la transaction est annulée, la base reste dans son état précédent et le message cite la sauvegarde de migration conservée.</w:t>
      </w:r>
    </w:p>
    <w:p>
      <w:pPr>
        <w:keepNext w:val="false"/>
      </w:pPr>
      <w:r>
        <w:t xml:space="preserve">« Contrôler lʼintégrité » (encadré « Stockage local ») lit la base sans la modifier : ouverture, schéma 11/1, tables et colonnes, identité de la base (domaine et emplacement), marqueur de bascule, reçus plus récents que la base, références orphelines, PRAGMA quick_check et taille du journal SQLite. Verdict : « Sain », « À surveiller », « Défaut » ou « Incomplet ». Un défaut renvoie vers « Restaurer une sauvegarde… » ; aucune réparation n’est automatique.</w:t>
      </w:r>
    </w:p>
    <w:p>
      <w:pPr>
        <w:pStyle w:val="Heading2"/>
        <w:keepNext/>
      </w:pPr>
      <w:r>
        <w:t xml:space="preserve">Mesure et purge</w:t>
      </w:r>
    </w:p>
    <w:p>
      <w:pPr>
        <w:keepNext w:val="false"/>
      </w:pPr>
      <w:r>
        <w:t xml:space="preserve">Dans Outils → Base autonome → Stockage, « Mesurer » compte les lignes et le volume de la base, en lecture seule. La mesure chronomètre aussi quatre lectures types sur cette base (page de l’index par type, postes actifs triés, page de mesures d’une famille, recherche de texte) et indique comment SQLite les a servies d’après son plan : index, tri complet en mémoire ou parcours complet (« Lectures mesurées sur cette base : »).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rPr>
          <w:b/>
          <w:bCs/>
        </w:rPr>
        <w:t xml:space="preserve">Conservation par famille.</w:t>
      </w:r>
      <w:r>
        <w:t xml:space="preserve"> Dans « Sauvegardes automatiques et conservation », une durée en jours se règle pour « Présence ping », « Utilisateur connecté », « Inventaire », « Sondes », « Détails » et « Historique des associations » ; 0 conserve la famille sans limite. L’historique des associations est conservé sans limite par défaut : seul un choix explicite le résume. Rien n’est supprimé à l’enregistrement. « Prévisualiser la conservation » compte, famille par famille, ce qui serait retiré et annonce la perte de détail ; « Appliquer… » demande confirmation, crée une sauvegarde vérifiée puis retire seulement les lignes annoncées. L’historique des associations n’est que résumé : une observation ancienne n’est retirée que si la précédente et la suivante du même poste nomment le même utilisateur ; chaque changement, la première et la dernière observation de chaque période, les dates illisibles et l’historique des associations déclarées sont gardés.</w:t>
      </w:r>
    </w:p>
    <w:p>
      <w:pPr>
        <w:keepNext w:val="false"/>
      </w:pPr>
      <w:r>
        <w:rPr>
          <w:b/>
          <w:bCs/>
        </w:rPr>
        <w:t xml:space="preserve">Espace disque.</w:t>
      </w:r>
      <w:r>
        <w:t xml:space="preserve"> Chaque enregistrement mesure l’espace libre du volume de la base. Les nouvelles collectes sont suspendues sous 512 Mo libres (« Espace disque insuffisant : ») et les écritures refusées sous 32 Mo (« Espace disque critique : »), ces seuils étant relevés de quatre fois la file en attente. Ce qui est collecté mais pas encore enregistré est affiché ; libérez de la place puis cliquez sur « Mesurer ». Sans mesure dans la session, l’espace reste annoncé comme non mesuré.</w:t>
      </w:r>
    </w:p>
    <w:p>
      <w:pPr>
        <w:keepNext w:val="false"/>
      </w:pPr>
      <w:r>
        <w:rPr>
          <w:b/>
          <w:bCs/>
        </w:rPr>
        <w:t xml:space="preserve">Limites.</w:t>
      </w:r>
      <w:r>
        <w:t xml:space="preserve"> L’encadré « Limites du stockage » rappelle les bornes de la file d’écriture (4 096 changements ou 32 Mo), des recherches, du moteur, de la conservation et des sauvegardes, avec la taille de la base et les collections les plus volumineuses de la dernière mesure. Le stockage local n’est pas illimité.</w:t>
      </w:r>
    </w:p>
    <w:p>
      <w:pPr>
        <w:keepNext w:val="false"/>
      </w:pPr>
      <w:r>
        <w:t xml:space="preserve">Après un échec du stockage local, « Reprendre les sauvegardes » relance l'enregistrement des lots restés en mémoire, et « Reprendre les anciennes données » affiche la simulation de la reprise des anciens fichiers avant toute confirmation : les deux sont dans Stockage, section « Reprises ». Les messages de Domenia qui en parlent portent un bouton qui ouvre cet endroit. Les reçus d’écriture s'ouvrent par la pastille « opérations à vérifier » de l'en-tête de page ; les autorisations d’intervention se donnent en tête de la vue « Intervenir » d’Assistance poste.</w:t>
      </w:r>
    </w:p>
    <w:p>
      <w:pPr>
        <w:keepNext/>
        <w:spacing w:after="60" w:before="120"/>
        <w:jc w:val="center"/>
      </w:pPr>
      <w:r>
        <w:drawing>
          <wp:inline distT="0" distB="0" distL="0" distR="0">
            <wp:extent cx="5762625" cy="3143250"/>
            <wp:effectExtent t="0" r="0" b="0" l="0"/>
            <wp:docPr id="1"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
      <w:r>
        <w:t xml:space="preserve">19 Règles de sécurité</w:t>
      </w:r>
      <w:bookmarkEnd w:id="1"/>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Un mot de passe saisi est lu en SecureString et n'est jamais recopié dans un champ modifiable ; « Afficher » le montre 5 s en lecture seule. LAPS et BitLocker : une valeur à la fois, jamais journalisée ni mise en cache, presse-papiers vidé après 30 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r>
        <w:rPr>
          <w:b/>
          <w:bCs/>
        </w:rPr>
        <w:t xml:space="preserve">À savoir. </w:t>
      </w:r>
      <w:r>
        <w:t xml:space="preserve">Limite de Windows PowerShell 5.1. L'API DirectoryEntry n'accepte le mot de passe que sous forme de chaîne. Au moment de chaque liaison à l'annuaire, Domenia en tire une copie depuis la SecureString et la remet aussitôt à Windows, sans la conserver, la journaliser ni l'afficher. Cette copie est immuable : aucune instruction ne peut l'effacer, elle disparaît quand le ramasse-miettes .NET libère la mémoire. Les variables vidées dans le code ne constituent donc pas un effacement.</w:t>
      </w:r>
    </w:p>
    <w:p>
      <w:pPr>
        <w:pStyle w:val="Heading1"/>
        <w:keepNext/>
      </w:pPr>
      <w:bookmarkStart w:name="chapitre_20" w:id="1"/>
      <w:r>
        <w:t xml:space="preserve">20 Journaux et diagnostic</w:t>
      </w:r>
      <w:bookmarkEnd w:id="1"/>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Diagnostic de la fiche et dossier hors ligne</w:t>
      </w:r>
    </w:p>
    <w:p>
      <w:pPr>
        <w:keepNext w:val="false"/>
      </w:pPr>
      <w:r>
        <w:t xml:space="preserve">Dans Outils, ouvrez Diagnostic. Ses outils se chargent à la première ouverture. En cas d’échec de chargement, Réessayer permet de reprendre sans fermer Domenia ; le journal conserve le détail de l’erreur.</w:t>
      </w:r>
    </w:p>
    <w:p>
      <w:pPr>
        <w:keepNext w:val="false"/>
      </w:pPr>
      <w:r>
        <w:t xml:space="preserve">Recalculer la synthèse relit les informations déjà disponibles pour la fiche. Comparer A / B aide à examiner deux captures du même objet, en distinguant les attributs inconnus des valeurs effectivement vides. Cette analyse locale ne lance pas une collecte AD, ping ou WMI.</w:t>
      </w:r>
    </w:p>
    <w:p>
      <w:pPr>
        <w:keepNext w:val="false"/>
      </w:pPr>
      <w:r>
        <w:t xml:space="preserve">Dans Dossier hors ligne, choisissez le périmètre puis Préparer le dossier. Domenia crée un dossier daté dans Exports à partir de la base locale. Il n’effectue aucune collecte réseau pour cet export. Vérifiez la fraîcheur et la couverture avant de l’utiliser pour une intervention. Les champs secrets dédiés sont exclus ; les identités et les chemins internes restent des informations à relire avant partage.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2790825"/>
            <wp:effectExtent t="0" r="0" b="0" l="0"/>
            <wp:docPr id="1"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Vérification rapide » contrôle la connexion et les composants ; « Vérification complète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nʼa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1"/>
      <w:r>
        <w:t xml:space="preserve">21 Contrôles et qualification</w:t>
      </w:r>
      <w:bookmarkEnd w:id="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1"/>
      <w:r>
        <w:t xml:space="preserve">22 Maintenance et sources</w:t>
      </w:r>
      <w:bookmarkEnd w:id="1"/>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1"/>
      <w:r>
        <w:t xml:space="preserve">23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2ff81fd204d7b58c3c194dde8c9293c3ac96678.png"/><Relationship Id="rId12" Type="http://schemas.openxmlformats.org/officeDocument/2006/relationships/image" Target="media/2503e5f046bf64a9da8ac3f85b553b00bffd5466.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9f49bce122f81a01dbb4c07cf9cf181ab6270901.png"/><Relationship Id="rId18" Type="http://schemas.openxmlformats.org/officeDocument/2006/relationships/image" Target="media/d2b8c8b2f2752e24ef938350b6587f4ca417b2a8.png"/><Relationship Id="rId19" Type="http://schemas.openxmlformats.org/officeDocument/2006/relationships/image" Target="media/3509d931fca4f559539883f4eb37d2038802890f.png"/><Relationship Id="rId20" Type="http://schemas.openxmlformats.org/officeDocument/2006/relationships/image" Target="media/33f8c39747c1105a4c1481ecc380b4b753930ee1.png"/><Relationship Id="rId21" Type="http://schemas.openxmlformats.org/officeDocument/2006/relationships/image" Target="media/394d2714471bbedb8e0af72da85ca98bcb914b8d.png"/><Relationship Id="rId22" Type="http://schemas.openxmlformats.org/officeDocument/2006/relationships/image" Target="media/a4ccae26aec49f8d85815461a82dc92a1509deac.png"/><Relationship Id="rId23" Type="http://schemas.openxmlformats.org/officeDocument/2006/relationships/image" Target="media/4cdbf6a3625fdd3b30c932e9b4822439104295b1.png"/><Relationship Id="rId24" Type="http://schemas.openxmlformats.org/officeDocument/2006/relationships/image" Target="media/f232e0c36acce87e990c9b59404a18a1f33b01e1.png"/><Relationship Id="rId25" Type="http://schemas.openxmlformats.org/officeDocument/2006/relationships/image" Target="media/072c5543482521efab258bd2de67b62692381431.png"/><Relationship Id="rId26" Type="http://schemas.openxmlformats.org/officeDocument/2006/relationships/image" Target="media/bf3f4bbdb648df080a999ce0da5c8cf8ee50fa63.png"/><Relationship Id="rId27" Type="http://schemas.openxmlformats.org/officeDocument/2006/relationships/image" Target="media/c0dbe42ca64354c469a2eee57fc40ff068a549f1.png"/><Relationship Id="rId28" Type="http://schemas.openxmlformats.org/officeDocument/2006/relationships/image" Target="media/8b1271ce76a93060211f809a64ac8d4d55959da1.png"/><Relationship Id="rId29" Type="http://schemas.openxmlformats.org/officeDocument/2006/relationships/image" Target="media/458775f5263c55280647f2c2c64dbebfcdb7c506.png"/><Relationship Id="rId30" Type="http://schemas.openxmlformats.org/officeDocument/2006/relationships/image" Target="media/96e4220380b92d056d3a2bfba123c4fbd3f8d2ab.png"/><Relationship Id="rId31" Type="http://schemas.openxmlformats.org/officeDocument/2006/relationships/image" Target="media/bbfdefda83a41171ad1216f47895086d0acf621e.png"/><Relationship Id="rId32" Type="http://schemas.openxmlformats.org/officeDocument/2006/relationships/image" Target="media/31f60614d7ddb8eac0be3b594ae53e6f757b1835.png"/><Relationship Id="rId33" Type="http://schemas.openxmlformats.org/officeDocument/2006/relationships/image" Target="media/942ed0adf6f5c5275a043856df54b6ccac4a9a8a.png"/><Relationship Id="rId34" Type="http://schemas.openxmlformats.org/officeDocument/2006/relationships/image" Target="media/ee6da33a1ad96d23b6c415ea3e1bbd36649b0e0f.png"/><Relationship Id="rId35" Type="http://schemas.openxmlformats.org/officeDocument/2006/relationships/image" Target="media/defbad9027ae51bc7d755d565e005828c4bdf153.png"/><Relationship Id="rId36" Type="http://schemas.openxmlformats.org/officeDocument/2006/relationships/image" Target="media/b6fe5c5ce1cee7da54e760467863c32c8b43df98.png"/><Relationship Id="rId37" Type="http://schemas.openxmlformats.org/officeDocument/2006/relationships/image" Target="media/81d83b2778c9da5c11f38b98f873174e5c2d157d.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2026-10-16T10:36:46.953Z</dcterms:created>
  <dcterms:modified xsi:type="dcterms:W3CDTF">2026-10-16T10:36:46.954Z</dcterms:modified>
</cp:coreProperties>
</file>

<file path=docProps/custom.xml><?xml version="1.0" encoding="utf-8"?>
<Properties xmlns="http://schemas.openxmlformats.org/officeDocument/2006/custom-properties" xmlns:vt="http://schemas.openxmlformats.org/officeDocument/2006/docPropsVTypes"/>
</file>