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a:graphic>
                    <a:graphicData uri="http://schemas.openxmlformats.org/drawingml/2006/picture">
                      <pic:pic>
                        <pic:nvPicPr>
                          <pic:cNvPr id="0"/>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Las asignaturas que mas me han gustado son las relacionadas con python, sobre todo deep learning o mineria de datos.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Creo que existe un gran valor en las certificaciones que se puedan obtener.</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Creo que no es alguna competencia en especifico la que tengo debil mas algun ambito, pero me considero bastante adaptativo por lo que soy un buen integrante en cada grupo</w:t>
            </w:r>
          </w:p>
          <w:p w:rsidR="00000000" w:rsidDel="00000000" w:rsidP="00000000" w:rsidRDefault="00000000" w:rsidRPr="00000000" w14:paraId="0000001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Me gusta bastante desarrollar en python pero actualmente estoy desarrollando programas on-premise con php usando bases de datos y resolviendo problematicas que se hayan en mi lugar de practicas. me gustaria ser desarrollador full stack.</w:t>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rFonts w:ascii="Century Gothic" w:cs="Century Gothic" w:eastAsia="Century Gothic" w:hAnsi="Century Gothic"/>
                <w:sz w:val="20"/>
                <w:szCs w:val="20"/>
              </w:rPr>
            </w:pPr>
            <w:bookmarkStart w:colFirst="0" w:colLast="0" w:name="_qbxic2p3wap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b w:val="1"/>
                <w:rtl w:val="0"/>
              </w:rPr>
              <w:t xml:space="preserve">desde el curso anterior estoy con la idea y desarrollando poco a poco la idea hasta el punto en el que estamos actualmente con el grupo, creo que el proyecto me ayudara ya que es una problematica real que esta en muchos lados y se podria implementar en mas sitios.</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9525" r="9525" t="9525"/>
              <wp:wrapNone/>
              <wp:docPr id="1" name=""/>
              <a:graphic>
                <a:graphicData uri="http://schemas.microsoft.com/office/word/2010/wordprocessingGroup">
                  <wpg:wgp>
                    <wpg:cNvGrpSpPr>
                      <a:grpSpLocks/>
                    </wpg:cNvGrpSpPr>
                    <wpg:grpSpPr bwMode="auto">
                      <a:xfrm>
                        <a:off x="0" y="0"/>
                        <a:ext cx="7753350" cy="190500"/>
                        <a:chOff x="0" y="14970"/>
                        <a:chExt cx="12255" cy="300"/>
                      </a:xfrm>
                    </wpg:grpSpPr>
                    <wps:wsp>
                      <wps:cNvSpPr txBox="1">
                        <a:spLocks noChangeArrowheads="1"/>
                      </wps:cNvSpPr>
                      <wps:cNvPr id="34" name="Text Box 25"/>
                      <wps:spPr bwMode="auto">
                        <a:xfrm>
                          <a:off x="10803" y="14982"/>
                          <a:ext cx="659" cy="288"/>
                        </a:xfrm>
                        <a:prstGeom prst="rect">
                          <a:avLst/>
                        </a:prstGeom>
                        <a:noFill/>
                        <a:ln>
                          <a:noFill/>
                        </a:ln>
                        <a:extLst>
                          <a:ext uri="{909E8E84-426E-40DD-AFC4-6F175D3DCCD1}"/>
                          <a:ext uri="{91240B29-F687-4F45-9708-019B960494DF}"/>
                        </a:extLst>
                      </wps:spPr>
                      <wps:txbx>
                        <w:txbxContent>
                          <w:p w:rsidR="0005546F" w:rsidDel="00000000" w:rsidP="00000000" w:rsidRDefault="0005546F" w:rsidRPr="00000000" w14:paraId="33ABF99C" w14:textId="0200012B">
                            <w:pPr>
                              <w:jc w:val="center"/>
                            </w:pPr>
                            <w:r w:rsidDel="00000000" w:rsidR="00000000" w:rsidRPr="00000000">
                              <w:fldChar w:fldCharType="begin"/>
                            </w:r>
                            <w:r w:rsidDel="00000000" w:rsidR="00000000" w:rsidRPr="00000000">
                              <w:instrText>PAGE    \* MERGEFORMAT</w:instrText>
                            </w:r>
                            <w:r w:rsidDel="00000000" w:rsidR="00000000" w:rsidRPr="00000000">
                              <w:fldChar w:fldCharType="separate"/>
                            </w:r>
                            <w:r w:rsidDel="00000000" w:rsidR="00173725" w:rsidRPr="00173725">
                              <w:rPr>
                                <w:noProof w:val="1"/>
                                <w:color w:val="8c8c8c" w:themeColor="background1" w:themeShade="00008C"/>
                                <w:lang w:val="es-ES"/>
                              </w:rPr>
                              <w:t>3</w:t>
                            </w:r>
                            <w:r w:rsidDel="00000000" w:rsidR="00000000" w:rsidRPr="00000000">
                              <w:rPr>
                                <w:color w:val="8c8c8c" w:themeColor="background1" w:themeShade="00008C"/>
                              </w:rPr>
                              <w:fldChar w:fldCharType="end"/>
                            </w:r>
                          </w:p>
                        </w:txbxContent>
                      </wps:txbx>
                      <wps:bodyPr anchorCtr="0" anchor="t" bIns="0" lIns="0" rIns="0" rot="0" upright="1" vert="horz" wrap="square" tIns="0">
                        <a:noAutofit/>
                      </wps:bodyPr>
                    </wps:wsp>
                    <wpg:grpSp>
                      <wpg:cNvGrpSpPr>
                        <a:grpSpLocks/>
                      </wpg:cNvGrpSpPr>
                      <wpg:cNvPr id="35" name="Group 31"/>
                      <wpg:grpSpPr bwMode="auto">
                        <a:xfrm flipH="1">
                          <a:off x="0" y="14970"/>
                          <a:ext cx="12255" cy="230"/>
                          <a:chOff x="-8" y="14978"/>
                          <a:chExt cx="12255" cy="230"/>
                        </a:xfrm>
                      </wpg:grpSpPr>
                      <wps:wsp>
                        <wps:cNvCnPr>
                          <a:cxnSpLocks noChangeShapeType="1"/>
                        </wps:cNvCnPr>
                        <wps:cNvPr id="36" name="AutoShape 27"/>
                        <wps:spPr bwMode="auto">
                          <a:xfrm flipV="1">
                            <a:off x="-8" y="14978"/>
                            <a:ext cx="1260" cy="230"/>
                          </a:xfrm>
                          <a:prstGeom prst="bentConnector3">
                            <a:avLst>
                              <a:gd fmla="val 50000" name="adj1"/>
                            </a:avLst>
                          </a:prstGeom>
                          <a:noFill/>
                          <a:ln w="9525">
                            <a:solidFill>
                              <a:srgbClr val="A5A5A5"/>
                            </a:solidFill>
                            <a:miter lim="800000"/>
                            <a:headEnd/>
                            <a:tailEnd/>
                          </a:ln>
                          <a:extLst>
                            <a:ext uri="{909E8E84-426E-40DD-AFC4-6F175D3DCCD1}"/>
                          </a:extLst>
                        </wps:spPr>
                        <wps:bodyPr/>
                      </wps:wsp>
                      <wps:wsp>
                        <wps:cNvCnPr>
                          <a:cxnSpLocks noChangeShapeType="1"/>
                        </wps:cNvCnPr>
                        <wps:cNvPr id="37" name="AutoShape 28"/>
                        <wps:spPr bwMode="auto">
                          <a:xfrm rot="10800000">
                            <a:off x="1252" y="14978"/>
                            <a:ext cx="10995" cy="230"/>
                          </a:xfrm>
                          <a:prstGeom prst="bentConnector3">
                            <a:avLst>
                              <a:gd fmla="val 96778" name="adj1"/>
                            </a:avLst>
                          </a:prstGeom>
                          <a:noFill/>
                          <a:ln w="9525">
                            <a:solidFill>
                              <a:srgbClr val="A5A5A5"/>
                            </a:solidFill>
                            <a:miter lim="800000"/>
                            <a:headEnd/>
                            <a:tailEnd/>
                          </a:ln>
                          <a:extLst>
                            <a:ext uri="{909E8E84-426E-40DD-AFC4-6F175D3DCCD1}"/>
                          </a:extLst>
                        </wps:spPr>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72400" cy="2000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2000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a:graphic>
                  <a:graphicData uri="http://schemas.openxmlformats.org/drawingml/2006/picture">
                    <pic:pic>
                      <pic:nvPicPr>
                        <pic:cNvPr id="0"/>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a:graphic>
                  <a:graphicData uri="http://schemas.openxmlformats.org/drawingml/2006/picture">
                    <pic:pic>
                      <pic:nvPicPr>
                        <pic:cNvPr id="0"/>
                        <pic:cNvPicPr preferRelativeResize="0"/>
                      </pic:nvPicPr>
                      <pic:blipFill>
                        <a:blip r:embed="rId1"/>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nul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