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none"/>
          <w:rtl w:val="0"/>
        </w:rPr>
        <w:t xml:space="preserve">Pontifícia Universidade Católica de Goiás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-116239</wp:posOffset>
            </wp:positionH>
            <wp:positionV relativeFrom="paragraph">
              <wp:posOffset>-340527</wp:posOffset>
            </wp:positionV>
            <wp:extent cx="802650" cy="92891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650" cy="928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none"/>
          <w:rtl w:val="0"/>
        </w:rPr>
        <w:t xml:space="preserve">Departamento de Ciência da Computação</w:t>
      </w:r>
    </w:p>
    <w:p w:rsidR="00000000" w:rsidDel="00000000" w:rsidP="00000000" w:rsidRDefault="00000000" w:rsidRPr="00000000" w14:paraId="00000003">
      <w:pPr>
        <w:pStyle w:val="Title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none"/>
          <w:rtl w:val="0"/>
        </w:rPr>
        <w:t xml:space="preserve">CMP 1490-C02 – Desenho de Software Web</w:t>
      </w:r>
    </w:p>
    <w:p w:rsidR="00000000" w:rsidDel="00000000" w:rsidP="00000000" w:rsidRDefault="00000000" w:rsidRPr="00000000" w14:paraId="00000004">
      <w:pPr>
        <w:pStyle w:val="Title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left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none"/>
          <w:rtl w:val="0"/>
        </w:rPr>
        <w:t xml:space="preserve">Nome: _______________________________________________________</w:t>
      </w:r>
    </w:p>
    <w:p w:rsidR="00000000" w:rsidDel="00000000" w:rsidP="00000000" w:rsidRDefault="00000000" w:rsidRPr="00000000" w14:paraId="00000006">
      <w:pPr>
        <w:pStyle w:val="Title"/>
        <w:jc w:val="both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both"/>
        <w:rPr>
          <w:rFonts w:ascii="Arial" w:cs="Arial" w:eastAsia="Arial" w:hAnsi="Arial"/>
          <w:b w:val="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none"/>
          <w:rtl w:val="0"/>
        </w:rPr>
        <w:t xml:space="preserve">Obs.: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none"/>
          <w:rtl w:val="0"/>
        </w:rPr>
        <w:t xml:space="preserve"> </w:t>
        <w:tab/>
        <w:t xml:space="preserve">1.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 xml:space="preserve">Cada questão só tem uma resposta certa. 2. Valor total da prova:  10.0 (Dez pontos).</w:t>
      </w:r>
    </w:p>
    <w:p w:rsidR="00000000" w:rsidDel="00000000" w:rsidP="00000000" w:rsidRDefault="00000000" w:rsidRPr="00000000" w14:paraId="00000008">
      <w:pPr>
        <w:pStyle w:val="Title"/>
        <w:jc w:val="both"/>
        <w:rPr>
          <w:rFonts w:ascii="Arial" w:cs="Arial" w:eastAsia="Arial" w:hAnsi="Arial"/>
          <w:b w:val="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ab/>
        <w:t xml:space="preserve">3. Transportar as respostas para o quadro no final da prova.</w:t>
      </w:r>
    </w:p>
    <w:p w:rsidR="00000000" w:rsidDel="00000000" w:rsidP="00000000" w:rsidRDefault="00000000" w:rsidRPr="00000000" w14:paraId="00000009">
      <w:pPr>
        <w:pStyle w:val="Title"/>
        <w:jc w:val="both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Prova 1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  <w:sectPr>
          <w:pgSz w:h="16840" w:w="11907"/>
          <w:pgMar w:bottom="1134" w:top="1134" w:left="1134" w:right="1134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Questão 1)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Analisar as três afirmações abaixo e marcar a única alternativa correta.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Arquitetura é a organização fundamental de um sistema incorporada em seus componentes, seus relacionamentos com o ambiente, e os princípios que conduzem seu design e evolução.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Arquitetura é o conjunto de componentes e seus relacionamentos, que deve satisfazer os requisitos funcionais e não funcionais do sistema.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Arquitetura é a estrutura do sistema, a qual é composta pelo hardware, o software, as redes, os engenheiros, os desenvolvedores e o stakeholder.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84" w:right="0" w:hanging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I, II e III;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e II;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e III;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II e III;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Questão 2)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Arquiteto de software – que cria a arquitetura - pode ser uma pessoa ou um time com um arquiteto líder. Marque a única alternativa correta para as tarefas do Arquiteto de software: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284" w:hanging="28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análise de tendências tecnológicas, Contratação de colaboradores, aquisição tecnologia;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284" w:hanging="28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Mentoria de arquitetos novatos, identificação de talentos no mercado, treinamento da equipe de desenvolvedores;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284" w:hanging="28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Levantamento de requisitos, análise e desenho dos requisitos, definição dos algoritmos do sistema;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Modelagem, análise de trade-offs e viabilidade, prototipação, simulação e realização de experi-mentos.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Questão 3)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Marque a única alternativa correta para a definição de Padrões em Software: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line="275" w:lineRule="auto"/>
        <w:ind w:left="284" w:hanging="284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padrões em ES não podem existir em várias escalas e níveis de abstração;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line="275" w:lineRule="auto"/>
        <w:ind w:left="284" w:hanging="284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Padrões em ES não permitem que desenvolve-dores possam recorrer a soluções já existentes para solucionar problemas que normalmente ocorrem em desenvolvimento de software;.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line="275" w:lineRule="auto"/>
        <w:ind w:left="284" w:hanging="284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“um padrão expresso uma solução reutilizável descrita através de três partes: um contexto, um problema e uma solução”;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line="275" w:lineRule="auto"/>
        <w:ind w:left="284" w:hanging="284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Padrões de software ignoram experiência existentes e comprovadas em desenvolvimento de software;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Questão 4)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Marque a única alternativa correta para a definição de Estilos Arquiteturais: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4" w:hanging="28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Um estilo arquitetural define os tipos de elementos que podem aparecer em uma arquitetura e as regras que regem a sua interconexão podendo simplificar o problema de definição de arquiteturas de sistema;</w:t>
      </w:r>
    </w:p>
    <w:p w:rsidR="00000000" w:rsidDel="00000000" w:rsidP="00000000" w:rsidRDefault="00000000" w:rsidRPr="00000000" w14:paraId="00000023">
      <w:pPr>
        <w:ind w:left="284" w:hanging="28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Os estilos nem sempre refletem as estratégias básicas que são usadas para estruturar um sistema;</w:t>
      </w:r>
    </w:p>
    <w:p w:rsidR="00000000" w:rsidDel="00000000" w:rsidP="00000000" w:rsidRDefault="00000000" w:rsidRPr="00000000" w14:paraId="00000024">
      <w:pPr>
        <w:ind w:left="284" w:hanging="28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Estilos arquiteturais não podem ser usados para descrever arquiteturas que tenham foco nas soluções de projeto;</w:t>
      </w:r>
    </w:p>
    <w:p w:rsidR="00000000" w:rsidDel="00000000" w:rsidP="00000000" w:rsidRDefault="00000000" w:rsidRPr="00000000" w14:paraId="00000025">
      <w:pPr>
        <w:ind w:left="284" w:hanging="28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maioria dos sistemas de grande porte não conseguem aderir à maioria dos estilos já existentes.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Questão 5)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Arquitetura em camadas visa a criação de aplicativos modulares, de forma que a camada mais alta se comunica com a camada mais baixa e assim por diante, fazendo com que uma camada seja dependente apenas da camada imediatamente abaixo. Marque a única alternativa correta para as vantagens deste estilo.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284" w:hanging="28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Duplicação de funcionalidade, violação de estrutura do sistema e 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Overhead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 implementa-ção e desempenho.;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284" w:hanging="284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Facilidade de compreensão, Facilidade de manutenção e Desenvolvimento independente;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Objetos são fracamente acoplados devido ao uso de interfaces;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Linguagens de implementação orientada a objeto são amplamente usadas.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1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Respostas:</w:t>
      </w:r>
    </w:p>
    <w:tbl>
      <w:tblPr>
        <w:tblStyle w:val="Table1"/>
        <w:tblW w:w="40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7"/>
        <w:gridCol w:w="870"/>
        <w:gridCol w:w="1177"/>
        <w:gridCol w:w="870"/>
        <w:tblGridChange w:id="0">
          <w:tblGrid>
            <w:gridCol w:w="1177"/>
            <w:gridCol w:w="870"/>
            <w:gridCol w:w="1177"/>
            <w:gridCol w:w="87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Questão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Questão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05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Arial" w:cs="Arial" w:eastAsia="Arial" w:hAnsi="Arial"/>
        </w:rPr>
        <w:sectPr>
          <w:type w:val="continuous"/>
          <w:pgSz w:h="16840" w:w="11907"/>
          <w:pgMar w:bottom="1134" w:top="1134" w:left="1134" w:right="1134" w:header="720" w:footer="720"/>
          <w:cols w:equalWidth="0" w:num="2" w:sep="1">
            <w:col w:space="432" w:w="4603.5"/>
            <w:col w:space="0" w:w="4603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134" w:top="1134" w:left="1134" w:right="1134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upperRoman"/>
      <w:lvlText w:val="%2.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