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b w:val="1"/>
          <w:color w:val="4a86e8"/>
          <w:rtl w:val="0"/>
        </w:rPr>
        <w:t xml:space="preserve">Aluno: </w:t>
        <w:tab/>
      </w:r>
      <w:r w:rsidDel="00000000" w:rsidR="00000000" w:rsidRPr="00000000">
        <w:rPr>
          <w:rtl w:val="0"/>
        </w:rPr>
        <w:tab/>
        <w:t xml:space="preserve">Bruno Camargo Manso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QUESTÕES DE CONCURSOS PÚBLICOS – ESTATÍSTICA DESCRITIVA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1) Um pesquisador que ordena uma lista de cidades segundo o ritmo de vida, do mais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lento para o mais acelerado, está operando no nível de medida: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(A) Nominal.</w:t>
      </w:r>
    </w:p>
    <w:p w:rsidR="00000000" w:rsidDel="00000000" w:rsidP="00000000" w:rsidRDefault="00000000" w:rsidRPr="00000000" w14:paraId="00000008">
      <w:pPr>
        <w:jc w:val="both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(B) Ordinal.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(C) Intervalar.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(D) Seqüencial.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3) Utilizando as regras de arredondamento em duas casas decimais, em qual das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alternativas o arredondamento está INCORRETO?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(A) 68,485 = 68,49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(B) 131,999 = 132,00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(C) 187,775 = 187,78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(D) 74,445 = 74,44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4) Associe a série de dados estatísticos com o tipo de gráfico adequado para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representá-la.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SÉRIE DE DADOS:</w:t>
      </w:r>
    </w:p>
    <w:p w:rsidR="00000000" w:rsidDel="00000000" w:rsidP="00000000" w:rsidRDefault="00000000" w:rsidRPr="00000000" w14:paraId="00000018">
      <w:pPr>
        <w:jc w:val="both"/>
        <w:rPr>
          <w:color w:val="6aa84f"/>
        </w:rPr>
      </w:pPr>
      <w:r w:rsidDel="00000000" w:rsidR="00000000" w:rsidRPr="00000000">
        <w:rPr>
          <w:rtl w:val="0"/>
        </w:rPr>
        <w:t xml:space="preserve">S1: Evolução do consumo mensal de materiais.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&lt; histograma</w:t>
      </w:r>
    </w:p>
    <w:p w:rsidR="00000000" w:rsidDel="00000000" w:rsidP="00000000" w:rsidRDefault="00000000" w:rsidRPr="00000000" w14:paraId="00000019">
      <w:pPr>
        <w:jc w:val="both"/>
        <w:rPr>
          <w:color w:val="6aa84f"/>
        </w:rPr>
      </w:pPr>
      <w:r w:rsidDel="00000000" w:rsidR="00000000" w:rsidRPr="00000000">
        <w:rPr>
          <w:rtl w:val="0"/>
        </w:rPr>
        <w:t xml:space="preserve">S2: Participação percentual de cada sócio no capital de uma empresa. </w:t>
      </w:r>
      <w:r w:rsidDel="00000000" w:rsidR="00000000" w:rsidRPr="00000000">
        <w:rPr>
          <w:color w:val="6aa84f"/>
          <w:rtl w:val="0"/>
        </w:rPr>
        <w:t xml:space="preserve">&lt; pizza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S3: Quantidade de alunos de uma escola por faixa etária.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GRÁFICOS: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G1: Histograma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G2: Gráfico de linhas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G3: Gráfico setorial (Pizza)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A alternativa correta é: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(A) (S1,G2); (S2,G1); (S3,G3)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(B) (S1,G3); (S2,G1); (S3,G2)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(C) (S1,G2); (S2,G3); (S3,G1)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(D) (S1,G1); (S2,G2); (S3,G3)</w:t>
      </w:r>
    </w:p>
    <w:p w:rsidR="00000000" w:rsidDel="00000000" w:rsidP="00000000" w:rsidRDefault="00000000" w:rsidRPr="00000000" w14:paraId="00000024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Instruções: Para responder às questões de números 5 a 8 considere o enunciado que segue.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A tabela abaixo apresenta a distribuição de freqüências das notas obtidas num teste de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matemática, realizado por 50 estudantes.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Notas Freqüência   </w:t>
        <w:tab/>
        <w:t xml:space="preserve">  ponto médio</w:t>
        <w:tab/>
        <w:tab/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0 |-- 2 </w:t>
        <w:tab/>
        <w:tab/>
        <w:t xml:space="preserve"> 4         </w:t>
        <w:tab/>
        <w:t xml:space="preserve">1</w:t>
        <w:tab/>
        <w:tab/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2 |-- 4 </w:t>
        <w:tab/>
        <w:tab/>
        <w:t xml:space="preserve">12</w:t>
        <w:tab/>
        <w:tab/>
        <w:t xml:space="preserve">3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4 |-- 6 </w:t>
        <w:tab/>
        <w:tab/>
        <w:t xml:space="preserve">15</w:t>
        <w:tab/>
        <w:tab/>
        <w:t xml:space="preserve">5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6 |-- 8 </w:t>
        <w:tab/>
        <w:tab/>
        <w:t xml:space="preserve">13</w:t>
        <w:tab/>
        <w:tab/>
        <w:t xml:space="preserve">7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8 |-- 10</w:t>
        <w:tab/>
        <w:tab/>
        <w:t xml:space="preserve"> 6</w:t>
        <w:tab/>
        <w:tab/>
        <w:t xml:space="preserve">9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5) A nota média desses estudantes é: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(A) 5,0</w:t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(B) 5,2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(C) 5,5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(D) 5,8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(E) 6,0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6) Se a nota mínima para aprovação no teste é 5,8, a porcentagem de aprovação é de: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(A) 51%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(B) 48%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(C) 45%</w:t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(D) 41%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(E) 38%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7) A nota mediana desses estudantes é: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(A) 4,8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(B) 5,0</w:t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(C)) 5,2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(D) 5,5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(E) 5,8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Considere o enunciado a seguir para responder às questões de números 9 a 12.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A tabela apresenta uma distribuição hipotética de freqüência do número de anos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trabalhados em uma amostra de 100 aposentados.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Classe </w:t>
        <w:tab/>
        <w:t xml:space="preserve">Frequência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0   |-- 10 </w:t>
        <w:tab/>
        <w:t xml:space="preserve">10</w:t>
        <w:tab/>
        <w:tab/>
        <w:tab/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10 |-- 20 </w:t>
        <w:tab/>
        <w:t xml:space="preserve">20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20 |-- 30 </w:t>
        <w:tab/>
        <w:t xml:space="preserve">30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30 |-- 40 </w:t>
        <w:tab/>
        <w:t xml:space="preserve">40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9) Essa distribuição: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(A) tem moda igual à média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(B) tem moda menor que a média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(C) é simétrica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(D) é assimétrica à direita</w:t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(E) é assimétrica à esquerda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10) A mediana da distribuição vale, aproximadamente: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(A) 20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(B) 23,3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(C) 25</w:t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(D) 26,7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(E) 30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11) A média aritmética da distribuição vale, aproximadamente: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(A) 20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(B) 23,3</w:t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(C) 25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(D) 26,7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(E) 30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12) O primeiro quartil vale, aproximadamente: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(F) 10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(G) 15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(H) 17,5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(I) 18,5</w:t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(J) 20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14) A tabela abaixo mostra a distribuição das famílias por avaliação da quantidade de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alimento consumido segundo as classes de rendimento mensal familiar.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Das famílias com renda de até R$ 600,00, qual é, aproximadamente, a porcentagem das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que normalmente consomem quantidade insuficiente de alimentos?</w:t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(A)7,1%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(B) 13,83%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(C) 18,2%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(D)23,4%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(E) 25,9%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15) Em 2003, a relação entre os preços unitários de dois produtos X e Y, foi igual a 1,60,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passando para 2,50 em 2004. Considerando-se o período de 2003 a 2004, a relação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entre os preços unitários dos produtos X e Y foi, em média, igual a: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(A) 2,02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(B) 1,96</w:t>
      </w:r>
    </w:p>
    <w:p w:rsidR="00000000" w:rsidDel="00000000" w:rsidP="00000000" w:rsidRDefault="00000000" w:rsidRPr="00000000" w14:paraId="0000008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(C) 2,05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(D) 2,00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16) Um aluno obteve as notas 4,5; 8,0 e 7,0 nas três avaliações realizadas durante o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semestre. O aluno que não consegue a média 7,0 nas três avaliações mensais deve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realizar a prova final. Na composição da média final, a média das três avaliações têm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peso 4, e a nota da prova final tem peso 6. O aluno será considerado aprovado com a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média final superior ou igual a 5. Para obter aprovação, o aluno citado deverá conseguir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no exame final, nota mínima igual a: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(A) 5,0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(B) 3,5</w:t>
      </w:r>
    </w:p>
    <w:p w:rsidR="00000000" w:rsidDel="00000000" w:rsidP="00000000" w:rsidRDefault="00000000" w:rsidRPr="00000000" w14:paraId="0000008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(C) 4,0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(D) 7,0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17) Observe a tabela abaixo: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Determinando-se a média e a mediana, chega-se aos seguintes resultados: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(A)Média = 52,50 minutos/equipamento; Mediana = 52,00 minutos.</w:t>
      </w:r>
    </w:p>
    <w:p w:rsidR="00000000" w:rsidDel="00000000" w:rsidP="00000000" w:rsidRDefault="00000000" w:rsidRPr="00000000" w14:paraId="0000009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(B)Média = 51,63 minutos/equipamento; Mediana = 51,50 minutos.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(C)Média = 51,36 minutos/equipamento; Mediana = 51,00 minutos.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(D)Média = 51,88 minutos/equipamento; Mediana = 52,50 minutos.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20) Uma distribuição da força de posições em relação à legalização do aborto tem dois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pontos de frequência máxima, o que indica que muitas pessoas se opõem fortemente e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muitas são definitivamente favoráveis ao aborto. Que medida de tendência central você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empregaria para caracterizar a força das posições em relação à legalização do aborto?</w:t>
      </w:r>
    </w:p>
    <w:p w:rsidR="00000000" w:rsidDel="00000000" w:rsidP="00000000" w:rsidRDefault="00000000" w:rsidRPr="00000000" w14:paraId="0000009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(A) Moda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(B) Mediana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(C) Média aritmética simples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(D) Média harmônica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21) 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l de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R$ 1.500,00; a cada um de seus 67 assistentes R$ 2.000,00; a cada um dos 58 adjuntos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R$ 2.600,00 e a cada um de seus 32 titulares R$ 3.100,00. O salário mediano dos 202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docentes dessa universidade é;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(A) R$ 2.300,00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(B) R$ 2.600,00</w:t>
      </w:r>
    </w:p>
    <w:p w:rsidR="00000000" w:rsidDel="00000000" w:rsidP="00000000" w:rsidRDefault="00000000" w:rsidRPr="00000000" w14:paraId="000000A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(C) R$ 2.000,00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(D) R$ 2.400,00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22) Considerando o conjunto de informações Z = {0, -1, -2, 5, 4, -3, -7, 2, -4, 6}, é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correto afirmar: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(A) A média é 3,4 e a variância 16.</w:t>
      </w:r>
    </w:p>
    <w:p w:rsidR="00000000" w:rsidDel="00000000" w:rsidP="00000000" w:rsidRDefault="00000000" w:rsidRPr="00000000" w14:paraId="000000A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(B) A média é zero e a variância 17,9.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(C) A média é zero e a variância 16.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(D) A média é 3,4 e a variância 4.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23) Realizou-se uma prova de matemática para duas turmas. Os resultados foram os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seguintes: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Turma A: x = 5 e s = 2,5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Turma B: x = 4 e s = 2,0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Com esses resultados, é correto afirmar: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(A) A turma B apresentou maior dispersão absoluta.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(B) A dispersão relativa é igual à dispersão absoluta.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(C) Tanto a dispersão absoluta quanto a relativa são maiores para a turma B.</w:t>
      </w:r>
    </w:p>
    <w:p w:rsidR="00000000" w:rsidDel="00000000" w:rsidP="00000000" w:rsidRDefault="00000000" w:rsidRPr="00000000" w14:paraId="000000B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(D)A dispersão absoluta de A é maior do que a de B, mas em termos relativos as duas</w:t>
      </w:r>
    </w:p>
    <w:p w:rsidR="00000000" w:rsidDel="00000000" w:rsidP="00000000" w:rsidRDefault="00000000" w:rsidRPr="00000000" w14:paraId="000000C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turmas não diferem quanto ao grau de dispersão das notas.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24) A expressão é sugerida como medida de dispersão. Tal sugestão é:</w:t>
      </w:r>
    </w:p>
    <w:p w:rsidR="00000000" w:rsidDel="00000000" w:rsidP="00000000" w:rsidRDefault="00000000" w:rsidRPr="00000000" w14:paraId="000000C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(A) Boa, porque depende dos desvios da média.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(B) Insatisfatória, a não ser que se calcule sua raiz quadrada.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(C) Boa, porque dispersão é uma medida de distância.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(D) Insatisfatória, porque tal medida é sempre igual a zero.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25) Examinando a figura abaixo, é correto dizer:</w:t>
      </w:r>
    </w:p>
    <w:p w:rsidR="00000000" w:rsidDel="00000000" w:rsidP="00000000" w:rsidRDefault="00000000" w:rsidRPr="00000000" w14:paraId="000000C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(A) O desvio padrão da distribuição A é maior do que o da distribuição B, e as médias são iguais.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(B) O desvio padrão de A é menor do que o de B e as médias são diferentes.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(C) O desvio padrão de A é igual ao de B, independentemente do valor da média.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(D) As distribuições possuem o mesmo coeficiente de variação.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26) A mediana é uma medida de posição usualmente utilizada na análise de distribuições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de renda porque as distribuições de renda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(A) têm intervalos de classe distintos.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(B) sempre são normais.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(C) tipicamente são do tipo uniforme.</w:t>
      </w:r>
    </w:p>
    <w:p w:rsidR="00000000" w:rsidDel="00000000" w:rsidP="00000000" w:rsidRDefault="00000000" w:rsidRPr="00000000" w14:paraId="000000D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(D) geralmente se mostram bastante assimétricas.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(E) sempre são bimodais.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As questões 28, 29 e 30 dizem respeito ao enunciado seguinte: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A distribuição de freqüências de determinado atributo X é dada na tabela abaixo. Não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existem observações coincidentes com os extremos das classes.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Classes Frequências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28) Assinale a opção que corresponde à amplitude interquartílica.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(A) 4.500,1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(B) 6.200,2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(C) 3.000,4</w:t>
      </w:r>
    </w:p>
    <w:p w:rsidR="00000000" w:rsidDel="00000000" w:rsidP="00000000" w:rsidRDefault="00000000" w:rsidRPr="00000000" w14:paraId="000000D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(D) 3.162,6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(E) 2.400,0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29) Assinale a opção que corresponde ao ponto médio da classe modal.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(A) 3.000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(B) 7.000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(C) 10.000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(D) 8.000</w:t>
      </w:r>
    </w:p>
    <w:p w:rsidR="00000000" w:rsidDel="00000000" w:rsidP="00000000" w:rsidRDefault="00000000" w:rsidRPr="00000000" w14:paraId="000000E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(E) 9.000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30) Assinale a opção que corresponde à estimativa do valor x que não é superado por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aproximadamente 80% das observações do atributo X.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(A) 12.000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(B) 10.000</w:t>
      </w:r>
    </w:p>
    <w:p w:rsidR="00000000" w:rsidDel="00000000" w:rsidP="00000000" w:rsidRDefault="00000000" w:rsidRPr="00000000" w14:paraId="000000E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(C) 10.471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(D) 9.000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(E) 11.700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31) Considere a tabela a seguir.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Salário (em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reais)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Frequência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relativa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400 |-- 600 0,10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600 |-- 800 0,20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800 |-- 1000 0,40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1000 |-- 1200 0,20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1200 |-- 1400 0,10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A tabela acima apresenta a distribuição de frequências relativas do valor do salário pago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aos funcionários da fábrica Y no mês de abril de 2006. A média e a mediana do valor do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salário pago pela fábrica Y no mês de abril de 2006 são, respectivamente.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(A)R$ 200,00 e R$ 400,00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(B)R$ 900,00 e R$ 1000,00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(C) R$ 1050,00 e R$ 1000,00</w:t>
      </w:r>
    </w:p>
    <w:p w:rsidR="00000000" w:rsidDel="00000000" w:rsidP="00000000" w:rsidRDefault="00000000" w:rsidRPr="00000000" w14:paraId="000001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(D)R$ 800,00 e R$ 800,00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(E)R$ 900,00 e R$ 900,00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32) Os gastos médios de dois grupos de pessoas, denominados A e B, são,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respectivamente, R$ 2.000,00 e R$ 3.000,00. O desvio-padrão dos gastos do grupo A é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de R$ 450,00, assim como o do grupo B é de R$ 450,00. Relativamente ao valor médio, o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grupo de maior variabilidade: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(A) é o B.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(B) não pode ser determinado, visto não se conhecer o número de componentes de cada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grupo.</w:t>
      </w:r>
    </w:p>
    <w:p w:rsidR="00000000" w:rsidDel="00000000" w:rsidP="00000000" w:rsidRDefault="00000000" w:rsidRPr="00000000" w14:paraId="000001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(C) é o A.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(D) não pode ser determinado, pois são exatamente iguais.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33) Uma empresa concedeu 5% de aumento de salário a todos os seus funcionários. O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desvio-padrão dos salários, antes do aumento, era de R$ 300,00. A variância dos novos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salários será igual a: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(A) 99.225.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(B) 300.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(C) 90.000.</w:t>
      </w:r>
    </w:p>
    <w:p w:rsidR="00000000" w:rsidDel="00000000" w:rsidP="00000000" w:rsidRDefault="00000000" w:rsidRPr="00000000" w14:paraId="0000011C">
      <w:pPr>
        <w:jc w:val="both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(D) 315.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</w:p>
    <w:p w:rsidR="00000000" w:rsidDel="00000000" w:rsidP="00000000" w:rsidRDefault="00000000" w:rsidRPr="00000000" w14:paraId="0000011D">
      <w:pPr>
        <w:jc w:val="both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34) Uma empresa resolveu aumentar o salário de todos os seus funcionários em R$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150,00 por mês. Em relação ao mês anterior: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(A) O salário médio sobe R$ 150,00, enquanto o desvio-padrão dos salários diminui, pois a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média aumenta.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(B) Tanto o salário médio quanto o desvio-padrão dos salários aumentam.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(C) O salário médio sobe R$ 150,00, enquanto o desvio-padrão dos salários permanece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igual.</w:t>
      </w:r>
    </w:p>
    <w:p w:rsidR="00000000" w:rsidDel="00000000" w:rsidP="00000000" w:rsidRDefault="00000000" w:rsidRPr="00000000" w14:paraId="000001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(D) O coeficiente de variação não se altera.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