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 w:eastAsia="微軟正黑體"/>
          <w:b/>
          <w:color w:val="1F5F4A"/>
          <w:sz w:val="64"/>
        </w:rPr>
        <w:t>力麗觀光開發股份有限公司</w:t>
      </w:r>
    </w:p>
    <w:p>
      <w:pPr>
        <w:jc w:val="center"/>
      </w:pPr>
      <w:r>
        <w:rPr>
          <w:rFonts w:ascii="Calibri" w:hAnsi="Calibri" w:eastAsia="微軟正黑體"/>
          <w:b/>
          <w:color w:val="1F5F4A"/>
          <w:sz w:val="56"/>
        </w:rPr>
        <w:t>2025 永續報告書</w:t>
      </w:r>
    </w:p>
    <w:p>
      <w:pPr>
        <w:jc w:val="center"/>
      </w:pPr>
      <w:r>
        <w:rPr>
          <w:rFonts w:ascii="Calibri" w:hAnsi="Calibri" w:eastAsia="微軟正黑體"/>
          <w:b w:val="0"/>
          <w:color w:val="555555"/>
          <w:sz w:val="28"/>
        </w:rPr>
        <w:t>Sustainability Report</w:t>
      </w:r>
    </w:p>
    <w:p/>
    <w:p/>
    <w:p>
      <w:pPr>
        <w:jc w:val="center"/>
      </w:pPr>
      <w:r>
        <w:rPr>
          <w:rFonts w:ascii="Calibri" w:hAnsi="Calibri" w:eastAsia="微軟正黑體"/>
          <w:b w:val="0"/>
          <w:sz w:val="24"/>
        </w:rPr>
        <w:t>報告期間：2025-01-01..2025-12-31</w:t>
      </w:r>
    </w:p>
    <w:p>
      <w:pPr>
        <w:jc w:val="center"/>
      </w:pPr>
      <w:r>
        <w:rPr>
          <w:rFonts w:ascii="Calibri" w:hAnsi="Calibri" w:eastAsia="微軟正黑體"/>
          <w:b w:val="0"/>
          <w:sz w:val="24"/>
        </w:rPr>
        <w:t>適用框架：GRI 2021 / ISSB / TWSE-FSC</w:t>
      </w:r>
    </w:p>
    <w:p>
      <w:pPr>
        <w:jc w:val="center"/>
      </w:pPr>
      <w:r>
        <w:rPr>
          <w:rFonts w:ascii="Calibri" w:hAnsi="Calibri" w:eastAsia="微軟正黑體"/>
          <w:b w:val="0"/>
          <w:sz w:val="24"/>
        </w:rPr>
        <w:t>股票代號：5364</w:t>
      </w:r>
    </w:p>
    <w:p/>
    <w:p/>
    <w:p/>
    <w:p/>
    <w:p/>
    <w:p/>
    <w:p/>
    <w:p/>
    <w:p>
      <w:pPr>
        <w:jc w:val="center"/>
      </w:pPr>
      <w:r>
        <w:rPr>
          <w:rFonts w:ascii="Calibri" w:hAnsi="Calibri" w:eastAsia="微軟正黑體"/>
          <w:b w:val="0"/>
          <w:i/>
          <w:color w:val="555555"/>
          <w:sz w:val="20"/>
        </w:rPr>
        <w:t>— 由 susr ESG Co-pilot 自動組裝 —</w:t>
      </w:r>
    </w:p>
    <w:p>
      <w:pPr>
        <w:jc w:val="center"/>
      </w:pPr>
      <w:r>
        <w:rPr>
          <w:rFonts w:ascii="Calibri" w:hAnsi="Calibri" w:eastAsia="微軟正黑體"/>
          <w:b w:val="0"/>
          <w:color w:val="555555"/>
          <w:sz w:val="18"/>
        </w:rPr>
        <w:t>Powered by m4ore · github.com/M4ORE/m4ore-skill-susr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微軟正黑體"/>
          <w:b/>
          <w:color w:val="1F5F4A"/>
          <w:sz w:val="44"/>
        </w:rPr>
        <w:t>目次</w:t>
      </w:r>
    </w:p>
    <w:p>
      <w:pPr>
        <w:spacing w:after="80"/>
      </w:pPr>
      <w:r>
        <w:rPr>
          <w:rFonts w:ascii="Calibri" w:hAnsi="Calibri" w:eastAsia="微軟正黑體"/>
          <w:b w:val="0"/>
          <w:i/>
          <w:color w:val="555555"/>
          <w:sz w:val="22"/>
        </w:rPr>
        <w:t>請在 Microsoft Word 內按 [參考資料 → 更新目錄] 或選取本段後按 F9 自動產生章節頁碼。</w:t>
      </w:r>
    </w:p>
    <w:p>
      <w:pPr>
        <w:spacing w:after="40"/>
      </w:pPr>
      <w:r>
        <w:rPr>
          <w:rFonts w:ascii="Calibri" w:hAnsi="Calibri" w:eastAsia="微軟正黑體"/>
          <w:b w:val="0"/>
          <w:sz w:val="22"/>
        </w:rPr>
        <w:t>第一章　公司概況</w:t>
      </w:r>
    </w:p>
    <w:p>
      <w:pPr>
        <w:spacing w:after="40"/>
      </w:pPr>
      <w:r>
        <w:rPr>
          <w:rFonts w:ascii="Calibri" w:hAnsi="Calibri" w:eastAsia="微軟正黑體"/>
          <w:b w:val="0"/>
          <w:sz w:val="22"/>
        </w:rPr>
        <w:t>第二章　重大性議題評估</w:t>
      </w:r>
    </w:p>
    <w:p>
      <w:pPr>
        <w:spacing w:after="40"/>
      </w:pPr>
      <w:r>
        <w:rPr>
          <w:rFonts w:ascii="Calibri" w:hAnsi="Calibri" w:eastAsia="微軟正黑體"/>
          <w:b w:val="0"/>
          <w:sz w:val="22"/>
        </w:rPr>
        <w:t>第三章　氣候變遷（TCFD）</w:t>
      </w:r>
    </w:p>
    <w:p>
      <w:pPr>
        <w:spacing w:after="40"/>
      </w:pPr>
      <w:r>
        <w:rPr>
          <w:rFonts w:ascii="Calibri" w:hAnsi="Calibri" w:eastAsia="微軟正黑體"/>
          <w:b w:val="0"/>
          <w:sz w:val="22"/>
        </w:rPr>
        <w:t>第四章　食品安全</w:t>
      </w:r>
    </w:p>
    <w:p>
      <w:pPr>
        <w:spacing w:after="40"/>
      </w:pPr>
      <w:r>
        <w:rPr>
          <w:rFonts w:ascii="Calibri" w:hAnsi="Calibri" w:eastAsia="微軟正黑體"/>
          <w:b w:val="0"/>
          <w:sz w:val="22"/>
        </w:rPr>
        <w:t>第五章　客戶隱私</w:t>
      </w:r>
    </w:p>
    <w:p>
      <w:pPr>
        <w:spacing w:after="40"/>
      </w:pPr>
      <w:r>
        <w:rPr>
          <w:rFonts w:ascii="Calibri" w:hAnsi="Calibri" w:eastAsia="微軟正黑體"/>
          <w:b w:val="0"/>
          <w:sz w:val="22"/>
        </w:rPr>
        <w:t>第六章　在地共融與文化保存</w:t>
      </w:r>
    </w:p>
    <w:p>
      <w:pPr>
        <w:spacing w:after="40"/>
      </w:pPr>
      <w:r>
        <w:rPr>
          <w:rFonts w:ascii="Calibri" w:hAnsi="Calibri" w:eastAsia="微軟正黑體"/>
          <w:b w:val="0"/>
          <w:sz w:val="22"/>
        </w:rPr>
        <w:t>附錄 A　IRO 風險與機會清單</w:t>
      </w:r>
    </w:p>
    <w:p>
      <w:pPr>
        <w:spacing w:after="40"/>
      </w:pPr>
      <w:r>
        <w:rPr>
          <w:rFonts w:ascii="Calibri" w:hAnsi="Calibri" w:eastAsia="微軟正黑體"/>
          <w:b w:val="0"/>
          <w:sz w:val="22"/>
        </w:rPr>
        <w:t>附錄 B　KPI 績效摘要</w:t>
      </w:r>
    </w:p>
    <w:p>
      <w:pPr>
        <w:spacing w:after="40"/>
      </w:pPr>
      <w:r>
        <w:rPr>
          <w:rFonts w:ascii="Calibri" w:hAnsi="Calibri" w:eastAsia="微軟正黑體"/>
          <w:b w:val="0"/>
          <w:sz w:val="22"/>
        </w:rPr>
        <w:t>附錄 C　目標進度追蹤</w:t>
      </w:r>
    </w:p>
    <w:p>
      <w:pPr>
        <w:spacing w:after="40"/>
      </w:pPr>
      <w:r>
        <w:rPr>
          <w:rFonts w:ascii="Calibri" w:hAnsi="Calibri" w:eastAsia="微軟正黑體"/>
          <w:b w:val="0"/>
          <w:sz w:val="22"/>
        </w:rPr>
        <w:t>附錄 D　GRI Content Index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微軟正黑體"/>
          <w:b/>
          <w:color w:val="1F5F4A"/>
          <w:sz w:val="44"/>
        </w:rPr>
        <w:t>第一章　公司概況</w:t>
      </w:r>
    </w:p>
    <w:p>
      <w:pPr>
        <w:spacing w:after="40"/>
      </w:pPr>
      <w:r>
        <w:rPr>
          <w:rFonts w:ascii="Calibri" w:hAnsi="Calibri" w:eastAsia="微軟正黑體"/>
          <w:b/>
          <w:color w:val="1F5F4A"/>
          <w:sz w:val="22"/>
        </w:rPr>
        <w:t>公司全名：</w:t>
      </w:r>
      <w:r>
        <w:rPr>
          <w:rFonts w:ascii="Calibri" w:hAnsi="Calibri" w:eastAsia="微軟正黑體"/>
          <w:b w:val="0"/>
          <w:sz w:val="22"/>
        </w:rPr>
        <w:t>力麗觀光開發股份有限公司</w:t>
      </w:r>
    </w:p>
    <w:p>
      <w:pPr>
        <w:spacing w:after="40"/>
      </w:pPr>
      <w:r>
        <w:rPr>
          <w:rFonts w:ascii="Calibri" w:hAnsi="Calibri" w:eastAsia="微軟正黑體"/>
          <w:b/>
          <w:color w:val="1F5F4A"/>
          <w:sz w:val="22"/>
        </w:rPr>
        <w:t>產業別：</w:t>
      </w:r>
      <w:r>
        <w:rPr>
          <w:rFonts w:ascii="Calibri" w:hAnsi="Calibri" w:eastAsia="微軟正黑體"/>
          <w:b w:val="0"/>
          <w:sz w:val="22"/>
        </w:rPr>
        <w:t>觀光休憩（hospitality）</w:t>
      </w:r>
    </w:p>
    <w:p>
      <w:pPr>
        <w:spacing w:after="40"/>
      </w:pPr>
      <w:r>
        <w:rPr>
          <w:rFonts w:ascii="Calibri" w:hAnsi="Calibri" w:eastAsia="微軟正黑體"/>
          <w:b/>
          <w:color w:val="1F5F4A"/>
          <w:sz w:val="22"/>
        </w:rPr>
        <w:t>股票代號：</w:t>
      </w:r>
      <w:r>
        <w:rPr>
          <w:rFonts w:ascii="Calibri" w:hAnsi="Calibri" w:eastAsia="微軟正黑體"/>
          <w:b w:val="0"/>
          <w:sz w:val="22"/>
        </w:rPr>
        <w:t>5364（上市）</w:t>
      </w:r>
    </w:p>
    <w:p>
      <w:pPr>
        <w:spacing w:after="40"/>
      </w:pPr>
      <w:r>
        <w:rPr>
          <w:rFonts w:ascii="Calibri" w:hAnsi="Calibri" w:eastAsia="微軟正黑體"/>
          <w:b/>
          <w:color w:val="1F5F4A"/>
          <w:sz w:val="22"/>
        </w:rPr>
        <w:t>報告期間：</w:t>
      </w:r>
      <w:r>
        <w:rPr>
          <w:rFonts w:ascii="Calibri" w:hAnsi="Calibri" w:eastAsia="微軟正黑體"/>
          <w:b w:val="0"/>
          <w:sz w:val="22"/>
        </w:rPr>
        <w:t>2025-01-01..2025-12-31</w:t>
      </w:r>
    </w:p>
    <w:p>
      <w:pPr>
        <w:spacing w:after="40"/>
      </w:pPr>
      <w:r>
        <w:rPr>
          <w:rFonts w:ascii="Calibri" w:hAnsi="Calibri" w:eastAsia="微軟正黑體"/>
          <w:b/>
          <w:color w:val="1F5F4A"/>
          <w:sz w:val="22"/>
        </w:rPr>
        <w:t>報告邊界：</w:t>
      </w:r>
      <w:r>
        <w:rPr>
          <w:rFonts w:ascii="Calibri" w:hAnsi="Calibri" w:eastAsia="微軟正黑體"/>
          <w:b w:val="0"/>
          <w:sz w:val="22"/>
        </w:rPr>
        <w:t>合併報表範圍（含力麗觀光及其子公司）</w:t>
      </w:r>
    </w:p>
    <w:p>
      <w:pPr>
        <w:spacing w:after="40"/>
      </w:pPr>
      <w:r>
        <w:rPr>
          <w:rFonts w:ascii="Calibri" w:hAnsi="Calibri" w:eastAsia="微軟正黑體"/>
          <w:b/>
          <w:color w:val="1F5F4A"/>
          <w:sz w:val="22"/>
        </w:rPr>
        <w:t>適用框架：</w:t>
      </w:r>
      <w:r>
        <w:rPr>
          <w:rFonts w:ascii="Calibri" w:hAnsi="Calibri" w:eastAsia="微軟正黑體"/>
          <w:b w:val="0"/>
          <w:sz w:val="22"/>
        </w:rPr>
        <w:t>GRI 2021 / ISSB / TWSE-FSC</w:t>
      </w:r>
    </w:p>
    <w:p>
      <w:pPr>
        <w:spacing w:after="40"/>
      </w:pPr>
      <w:r>
        <w:rPr>
          <w:rFonts w:ascii="Calibri" w:hAnsi="Calibri" w:eastAsia="微軟正黑體"/>
          <w:b/>
          <w:color w:val="1F5F4A"/>
          <w:sz w:val="22"/>
        </w:rPr>
        <w:t>確信等級：</w:t>
      </w:r>
      <w:r>
        <w:rPr>
          <w:rFonts w:ascii="Calibri" w:hAnsi="Calibri" w:eastAsia="微軟正黑體"/>
          <w:b w:val="0"/>
          <w:sz w:val="22"/>
        </w:rPr>
        <w:t>未進行第三方確信（v0.1 demo 試做）</w:t>
      </w:r>
    </w:p>
    <w:p>
      <w:pPr>
        <w:spacing w:after="40"/>
      </w:pPr>
      <w:r>
        <w:rPr>
          <w:rFonts w:ascii="Calibri" w:hAnsi="Calibri" w:eastAsia="微軟正黑體"/>
          <w:b/>
          <w:color w:val="1F5F4A"/>
          <w:sz w:val="22"/>
        </w:rPr>
        <w:t>聯絡窗口：</w:t>
      </w:r>
      <w:r>
        <w:rPr>
          <w:rFonts w:ascii="Calibri" w:hAnsi="Calibri" w:eastAsia="微軟正黑體"/>
          <w:b w:val="0"/>
          <w:sz w:val="22"/>
        </w:rPr>
        <w:t>永續發展委員會（範例填空）</w:t>
      </w:r>
    </w:p>
    <w:p>
      <w:pPr>
        <w:spacing w:after="80"/>
      </w:pPr>
      <w:r>
        <w:rPr>
          <w:rFonts w:ascii="Calibri" w:hAnsi="Calibri" w:eastAsia="微軟正黑體"/>
          <w:b w:val="0"/>
          <w:i/>
          <w:color w:val="555555"/>
          <w:sz w:val="20"/>
        </w:rPr>
        <w:t>本報告書由 susr ESG Co-pilot 自動組裝，內容基於 lealea-5364 fixture 範例資料、SP1-004 試做案例與 R1-R10 brain 演進。本報告書非力麗觀光開發股份有限公司之正式對外文件，僅作為 susr 端到端能力展示。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微軟正黑體"/>
          <w:b/>
          <w:color w:val="1F5F4A"/>
          <w:sz w:val="44"/>
        </w:rPr>
        <w:t>第二章　重大性議題評估</w:t>
      </w:r>
    </w:p>
    <w:p>
      <w:pPr>
        <w:spacing w:after="80"/>
      </w:pPr>
      <w:r>
        <w:rPr>
          <w:rFonts w:ascii="Calibri" w:hAnsi="Calibri" w:eastAsia="微軟正黑體"/>
          <w:b w:val="0"/>
          <w:i w:val="0"/>
          <w:sz w:val="22"/>
        </w:rPr>
        <w:t>本章節依雙重重大性（Double Materiality）原則，從影響重大性（Impact Materiality）與財務重大性（Financial Materiality）兩個維度評估議題。經 susr brain 之 score_topic_dual_axis 工具計算與顧問實際業務判斷整合後，得出本年度核心議題與重大議題清單。</w:t>
      </w:r>
    </w:p>
    <w:p>
      <w:pPr>
        <w:pStyle w:val="Heading2"/>
        <w:spacing w:before="240" w:after="120"/>
      </w:pPr>
      <w:r>
        <w:rPr>
          <w:rFonts w:ascii="Calibri" w:hAnsi="Calibri" w:eastAsia="微軟正黑體"/>
          <w:b/>
          <w:color w:val="1F5F4A"/>
          <w:sz w:val="36"/>
        </w:rPr>
        <w:t>2.1 核心議題（9 項）</w:t>
      </w:r>
    </w:p>
    <w:p>
      <w:pPr>
        <w:spacing w:after="80"/>
      </w:pPr>
      <w:r>
        <w:rPr>
          <w:rFonts w:ascii="Calibri" w:hAnsi="Calibri" w:eastAsia="微軟正黑體"/>
          <w:b w:val="0"/>
          <w:i w:val="0"/>
          <w:sz w:val="22"/>
        </w:rPr>
        <w:t>核心議題為雙軸評分皆 ≥ 4 之議題，或經顧問依產業特性與利害關係人重視程度判定為策略關鍵：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議題代碼</w:t>
            </w:r>
          </w:p>
        </w:tc>
        <w:tc>
          <w:tcPr>
            <w:tcW w:type="dxa" w:w="4536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議題類別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E1-climate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環境（氣候變遷）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E2-energy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環境（能源）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G2-integrity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G3-compliance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S1-labor-conditions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社會（員工）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S4-occupational-health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S6-food-safety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S7-customer-privacy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S8-customer-experience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 w:eastAsia="微軟正黑體"/>
          <w:b/>
          <w:color w:val="1F5F4A"/>
          <w:sz w:val="36"/>
        </w:rPr>
        <w:t>2.2 重大議題（追加揭露 5 項）</w:t>
      </w:r>
    </w:p>
    <w:p>
      <w:pPr>
        <w:spacing w:after="80"/>
      </w:pPr>
      <w:r>
        <w:rPr>
          <w:rFonts w:ascii="Calibri" w:hAnsi="Calibri" w:eastAsia="微軟正黑體"/>
          <w:b w:val="0"/>
          <w:i w:val="0"/>
          <w:sz w:val="22"/>
        </w:rPr>
        <w:t>核心議題之外、雙軸評分達重大門檻者（共 14 項）：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議題代碼</w:t>
            </w:r>
          </w:p>
        </w:tc>
        <w:tc>
          <w:tcPr>
            <w:tcW w:type="dxa" w:w="4536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議題類別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E3-water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環境（水資源）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E4-waste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環境（廢棄物）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E6-local-food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E7-biodiversity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G1-governance-structure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G4-information-security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G6-strategy-integration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S10-local-employment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S11-local-procurement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S12-indigenous-culture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社會（原住民文化）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S13-supplier-labor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S2-diversity-inclusion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S3-training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社會（訓練）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S5-mental-health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未分類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 w:eastAsia="微軟正黑體"/>
          <w:b/>
          <w:color w:val="1F5F4A"/>
          <w:sz w:val="36"/>
        </w:rPr>
        <w:t>2.3 議題評分覆寫紀錄</w:t>
      </w:r>
    </w:p>
    <w:p>
      <w:pPr>
        <w:spacing w:after="80"/>
      </w:pPr>
      <w:r>
        <w:rPr>
          <w:rFonts w:ascii="Calibri" w:hAnsi="Calibri" w:eastAsia="微軟正黑體"/>
          <w:b w:val="0"/>
          <w:i/>
          <w:color w:val="555555"/>
          <w:sz w:val="22"/>
        </w:rPr>
        <w:t>本年度未進行 tier 等級覆寫，所有議題分級皆由雙軸評分自動推導。</w:t>
      </w:r>
    </w:p>
    <w:p>
      <w:pPr>
        <w:pStyle w:val="Heading2"/>
        <w:spacing w:before="240" w:after="120"/>
      </w:pPr>
      <w:r>
        <w:rPr>
          <w:rFonts w:ascii="Calibri" w:hAnsi="Calibri" w:eastAsia="微軟正黑體"/>
          <w:b/>
          <w:color w:val="1F5F4A"/>
          <w:sz w:val="36"/>
        </w:rPr>
        <w:t>2.4 利害關係人議合摘要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利害關係人</w:t>
            </w:r>
          </w:p>
        </w:tc>
        <w:tc>
          <w:tcPr>
            <w:tcW w:type="dxa" w:w="302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溝通管道</w:t>
            </w:r>
          </w:p>
        </w:tc>
        <w:tc>
          <w:tcPr>
            <w:tcW w:type="dxa" w:w="302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關注議題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投資人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法說會、年報、月報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氣候風險、財務影響、治理結構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員工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員工大會、滿意度問卷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薪酬福利、職涯發展、職安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客戶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客戶滿意度、意見回饋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食品安全、服務品質、隱私保護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當地社區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社區議合會議、文化保存協作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在地就業、原住民權益、環境保護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供應商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供應商評鑑、供應鏈問卷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供應鏈永續、勞動條件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監管機關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金管會公開資訊觀測站、永續報告書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合規揭露、ISSB 準備度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非政府組織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公益合作、議題對話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原住民權益、環境議題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微軟正黑體"/>
          <w:b/>
          <w:color w:val="1F5F4A"/>
          <w:sz w:val="44"/>
        </w:rPr>
        <w:t>第三章　氣候變遷（TCFD）</w:t>
      </w:r>
    </w:p>
    <w:p>
      <w:pPr>
        <w:spacing w:after="80"/>
      </w:pPr>
      <w:r>
        <w:rPr>
          <w:rFonts w:ascii="Calibri" w:hAnsi="Calibri" w:eastAsia="微軟正黑體"/>
          <w:b w:val="0"/>
          <w:i/>
          <w:color w:val="555555"/>
          <w:sz w:val="20"/>
        </w:rPr>
        <w:t>適用框架：tcfd / issb-s2 / gri-305 / gri-302 / sasb-hl</w:t>
      </w:r>
    </w:p>
    <w:p>
      <w:pPr>
        <w:pStyle w:val="Heading2"/>
        <w:spacing w:before="240" w:after="120"/>
      </w:pPr>
      <w:r>
        <w:rPr>
          <w:rFonts w:ascii="Calibri" w:hAnsi="Calibri" w:eastAsia="微軟正黑體"/>
          <w:b/>
          <w:color w:val="1F5F4A"/>
          <w:sz w:val="36"/>
        </w:rPr>
        <w:t>第 3.1 章 — 氣候相關財務揭露（TCFD / ISSB S2 對照）</w:t>
      </w:r>
    </w:p>
    <w:p>
      <w:pPr>
        <w:spacing w:after="80"/>
        <w:ind w:left="283"/>
      </w:pPr>
      <w:r>
        <w:rPr>
          <w:rFonts w:ascii="Calibri" w:hAnsi="Calibri" w:eastAsia="微軟正黑體"/>
          <w:b/>
          <w:i/>
          <w:color w:val="555555"/>
          <w:sz w:val="22"/>
        </w:rPr>
        <w:t>本章為 Phase 5 完整章節示範</w:t>
      </w:r>
      <w:r>
        <w:rPr>
          <w:rFonts w:ascii="Calibri" w:hAnsi="Calibri" w:eastAsia="微軟正黑體"/>
          <w:b w:val="0"/>
          <w:i/>
          <w:color w:val="555555"/>
          <w:sz w:val="22"/>
        </w:rPr>
        <w:t>，遵循 SOP 連結性公式：</w:t>
      </w:r>
    </w:p>
    <w:p>
      <w:pPr>
        <w:spacing w:after="80"/>
        <w:ind w:left="283"/>
      </w:pPr>
      <w:r>
        <w:rPr>
          <w:rFonts w:ascii="Calibri" w:hAnsi="Calibri" w:eastAsia="微軟正黑體"/>
          <w:b w:val="0"/>
          <w:i/>
          <w:color w:val="555555"/>
          <w:sz w:val="22"/>
        </w:rPr>
        <w:t>Impact / Risk / Opportunity → 治理 → 策略 → 行動與資源 → 目標 → KPI → 展望</w:t>
      </w:r>
    </w:p>
    <w:p>
      <w:pPr>
        <w:spacing w:after="80"/>
        <w:ind w:left="283"/>
      </w:pPr>
    </w:p>
    <w:p>
      <w:pPr>
        <w:spacing w:after="80"/>
        <w:ind w:left="283"/>
      </w:pPr>
      <w:r>
        <w:rPr>
          <w:rFonts w:ascii="Calibri" w:hAnsi="Calibri" w:eastAsia="微軟正黑體"/>
          <w:b/>
          <w:i/>
          <w:color w:val="555555"/>
          <w:sz w:val="22"/>
        </w:rPr>
        <w:t>對應重大議題</w:t>
      </w:r>
      <w:r>
        <w:rPr>
          <w:rFonts w:ascii="Calibri" w:hAnsi="Calibri" w:eastAsia="微軟正黑體"/>
          <w:b w:val="0"/>
          <w:i/>
          <w:color w:val="555555"/>
          <w:sz w:val="22"/>
        </w:rPr>
        <w:t>：E1 氣候變遷與低碳轉型、E2 能源管理（核心象限）</w:t>
      </w:r>
    </w:p>
    <w:p>
      <w:pPr>
        <w:spacing w:after="80"/>
        <w:ind w:left="283"/>
      </w:pPr>
      <w:r>
        <w:rPr>
          <w:rFonts w:ascii="Calibri" w:hAnsi="Calibri" w:eastAsia="微軟正黑體"/>
          <w:b/>
          <w:i/>
          <w:color w:val="555555"/>
          <w:sz w:val="22"/>
        </w:rPr>
        <w:t>適用標準</w:t>
      </w:r>
      <w:r>
        <w:rPr>
          <w:rFonts w:ascii="Calibri" w:hAnsi="Calibri" w:eastAsia="微軟正黑體"/>
          <w:b w:val="0"/>
          <w:i/>
          <w:color w:val="555555"/>
          <w:sz w:val="22"/>
        </w:rPr>
        <w:t>：TCFD 4 構面 11 建議揭露 + ISSB IFRS S2（試做選用，2028 強制）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1. IRO（Impact / Risk / Opportunity）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1.1 衝擊（Impact）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 xml:space="preserve">旅館業屬高耗能服務業，2023 年本公司直接與外購電力導致溫室氣體排放（Scope 1 + 2）為 </w:t>
      </w:r>
      <w:r>
        <w:rPr>
          <w:rFonts w:ascii="Calibri" w:hAnsi="Calibri" w:eastAsia="微軟正黑體"/>
          <w:b/>
          <w:sz w:val="22"/>
        </w:rPr>
        <w:t>[X tCO2e]</w:t>
      </w:r>
      <w:r>
        <w:rPr>
          <w:rFonts w:ascii="Calibri" w:hAnsi="Calibri" w:eastAsia="微軟正黑體"/>
          <w:b w:val="0"/>
          <w:sz w:val="22"/>
        </w:rPr>
        <w:t xml:space="preserve">（試做標 N/A）；含上游食材碳足跡與員工通勤的 Scope 3 為 </w:t>
      </w:r>
      <w:r>
        <w:rPr>
          <w:rFonts w:ascii="Calibri" w:hAnsi="Calibri" w:eastAsia="微軟正黑體"/>
          <w:b/>
          <w:sz w:val="22"/>
        </w:rPr>
        <w:t>[Y tCO2e]</w:t>
      </w:r>
      <w:r>
        <w:rPr>
          <w:rFonts w:ascii="Calibri" w:hAnsi="Calibri" w:eastAsia="微軟正黑體"/>
          <w:b w:val="0"/>
          <w:sz w:val="22"/>
        </w:rPr>
        <w:t>。本公司 5 處據點中，南投日月潭流域與宜蘭明池 / 棲蘭屬於台灣中央氣象署劃定的氣候敏感區，極端降雨與乾旱頻率上升將加劇生態與營運壓力。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1.2 風險（Risk）— 雙軌：物理風險與轉型風險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子類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時間框架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財務影響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物理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急性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颱風 / 豪雨打擊山區據點（明池、月潭）、客流中斷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短期（1–3y）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營收下滑、修繕成本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物理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慢性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平均氣溫上升 → 空調負荷年增 2–4%、夏季客流可能流失至涼爽地區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中期（3–10y）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能源成本、毛利侵蝕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轉型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政策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台灣碳費 2025 起徵；旅館業在第二批納管前可能受供應鏈傳導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短期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食材成本上升、能源成本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轉型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政策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金管會 2026/2027/2028 ISSB 三階段強制；力麗預計 2028 適用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中期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揭露成本、確信費用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轉型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市場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永續旅遊偏好（GenZ / 國際商務客）— 不揭露的旅館訂房比例可能下滑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中期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訂房率、ADR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轉型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名譽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OTA 平台引入碳標籤；落後者將曝露於負評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中期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品牌價值</w:t>
            </w:r>
          </w:p>
        </w:tc>
      </w:tr>
    </w:tbl>
    <w:p>
      <w:pPr>
        <w:spacing w:after="40"/>
      </w:pP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1.3 機會（Opportunity）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永續旅遊溢價</w:t>
      </w:r>
      <w:r>
        <w:rPr>
          <w:rFonts w:ascii="Calibri" w:hAnsi="Calibri" w:eastAsia="微軟正黑體"/>
          <w:b w:val="0"/>
          <w:sz w:val="22"/>
        </w:rPr>
        <w:t>：依 Booking.com 2024 永續旅遊報告，76% 旅客願為永續住宿支付溢價 — 力麗哲園日潭 / 月潭天然環境可包裝為永續旅遊標的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節能 ROI</w:t>
      </w:r>
      <w:r>
        <w:rPr>
          <w:rFonts w:ascii="Calibri" w:hAnsi="Calibri" w:eastAsia="微軟正黑體"/>
          <w:b w:val="0"/>
          <w:sz w:val="22"/>
        </w:rPr>
        <w:t>：HVAC 升級、LED 全面化、智慧能源管理系統（EnMS）回收期通常 &lt; 5 年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綠電轉型</w:t>
      </w:r>
      <w:r>
        <w:rPr>
          <w:rFonts w:ascii="Calibri" w:hAnsi="Calibri" w:eastAsia="微軟正黑體"/>
          <w:b w:val="0"/>
          <w:sz w:val="22"/>
        </w:rPr>
        <w:t>：南投山區據點具屋頂太陽能潛力；宜蘭明池水力小型試點可行性研究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生態旅遊產品</w:t>
      </w:r>
      <w:r>
        <w:rPr>
          <w:rFonts w:ascii="Calibri" w:hAnsi="Calibri" w:eastAsia="微軟正黑體"/>
          <w:b w:val="0"/>
          <w:sz w:val="22"/>
        </w:rPr>
        <w:t>：明池 / 棲蘭已具生態優勢，可發展碳中和包套產品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集團綜效</w:t>
      </w:r>
      <w:r>
        <w:rPr>
          <w:rFonts w:ascii="Calibri" w:hAnsi="Calibri" w:eastAsia="微軟正黑體"/>
          <w:b w:val="0"/>
          <w:sz w:val="22"/>
        </w:rPr>
        <w:t>：母公司力麗 / 力鵬紡織業已啟動再生 PET 紗線，可導入旅館布巾備品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2. 治理（Governance）— TCFD 構面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揭露內容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董事會監督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永續委員會（董事會下設）每季 1 次；氣候議題自 2023 起列為固定議程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董事 ESG 專業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7 席董事中 [X] 位具永續 / 環境 / ESG 專業背景；獨董 3 席含 [Y] 位氣候議題經驗（試做標 N/A — 待真實版補）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管理階層責任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副總經理為永續執行最高層；旗下永續發展辦公室（2 人）專責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氣候 KPI 連動高管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2024 起，副總年度績效 KPI 含「能源強度年降 2%」與「Scope 1+2 排放年降 1.5%」（試做版本，實際依公司）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報告路徑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工程部 → 永續發展辦公室 → 副總 → 永續委員會 → 董事會</w:t>
            </w:r>
          </w:p>
        </w:tc>
      </w:tr>
    </w:tbl>
    <w:p>
      <w:pPr>
        <w:spacing w:after="40"/>
      </w:pP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3. 策略（Strategy）— TCFD 構面 2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3.1 情境分析（Scenario Analysis）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情境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假設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對本公司影響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應對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1.5°C（IEA NZE）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全球 2050 淨零；台灣碳費 2030 達 NTD 1,500/tCO2e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能源成本年增 5–8%、Scope 3 食材成本傳導 +3%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2027 前完成 LED + EnMS、2030 達綠電 30%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2°C（NDC 校準）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台灣 2030 減 24±1%、2050 淨零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中度成本壓力、客戶需求溫和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2030 達 SBTi 1.5°C 路徑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4°C（高排放）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政策延宕；極端氣候頻率倍增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物理風險爆增；山區據點年度修繕成本翻倍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強化據點韌性、保險覆蓋、客戶分散</w:t>
            </w:r>
          </w:p>
        </w:tc>
      </w:tr>
    </w:tbl>
    <w:p>
      <w:pPr>
        <w:spacing w:after="40"/>
      </w:pP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3.2 策略整合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本公司氣候策略整合三層：</w:t>
      </w:r>
      <w:r>
        <w:rPr>
          <w:rFonts w:ascii="Calibri" w:hAnsi="Calibri" w:eastAsia="微軟正黑體"/>
          <w:b/>
          <w:sz w:val="22"/>
        </w:rPr>
        <w:t>降耗 × 轉型 × 韌性</w:t>
      </w:r>
      <w:r>
        <w:rPr>
          <w:rFonts w:ascii="Calibri" w:hAnsi="Calibri" w:eastAsia="微軟正黑體"/>
          <w:b w:val="0"/>
          <w:sz w:val="22"/>
        </w:rPr>
        <w:t>。三層各有 2026–2030 年目標，與公司整體營運計畫綁定（不是獨立 ESG 章節）。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4. 風險管理（Risk Management）— TCFD 構面 3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辨識</w:t>
      </w:r>
      <w:r>
        <w:rPr>
          <w:rFonts w:ascii="Calibri" w:hAnsi="Calibri" w:eastAsia="微軟正黑體"/>
          <w:b w:val="0"/>
          <w:sz w:val="22"/>
        </w:rPr>
        <w:t>：每年 Q1 由永續發展辦公室主導，跨部門（工程、HR、餐飲、財務）盤點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評估</w:t>
      </w:r>
      <w:r>
        <w:rPr>
          <w:rFonts w:ascii="Calibri" w:hAnsi="Calibri" w:eastAsia="微軟正黑體"/>
          <w:b w:val="0"/>
          <w:sz w:val="22"/>
        </w:rPr>
        <w:t>：以 5 分制雙軸（衝擊 × 機率）評分；&gt; 3.5 列入年度永續委員會議程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整合至 ERM</w:t>
      </w:r>
      <w:r>
        <w:rPr>
          <w:rFonts w:ascii="Calibri" w:hAnsi="Calibri" w:eastAsia="微軟正黑體"/>
          <w:b w:val="0"/>
          <w:sz w:val="22"/>
        </w:rPr>
        <w:t>：永續委員會風險清單同步至公司整體企業風險管理（ERM）系統，由稽核室列管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回應</w:t>
      </w:r>
      <w:r>
        <w:rPr>
          <w:rFonts w:ascii="Calibri" w:hAnsi="Calibri" w:eastAsia="微軟正黑體"/>
          <w:b w:val="0"/>
          <w:sz w:val="22"/>
        </w:rPr>
        <w:t>：依風險類別分配責任部門 + 季度追蹤 + 年度回顧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5. 行動與資源（Actions &amp; Resources）— 2023 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302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投入</w:t>
            </w:r>
          </w:p>
        </w:tc>
        <w:tc>
          <w:tcPr>
            <w:tcW w:type="dxa" w:w="302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進度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全據點 LED 改善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[X] 萬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直營三館 2023 完成 80%；委託二館 2024 啟動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HVAC 智慧排程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[X] 萬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日潭館 pilot 完成；2024 推廣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員工節能訓練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 人時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全員完訓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食材在地採購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—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南投 / 宜蘭在地食材比例提升至 [Z]%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3 盤查啟動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[X] 萬 + 顧問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C1, C6, C7 完成；其餘 2024 接續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太陽能可行性研究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[X] 萬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月潭館屋頂評估完成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\* 試做版未取得真實財務數據，[X][Y][Z] 為占位符。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6. 目標（Targets）— TCFD 構面 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目標類型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基線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時程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驗證路徑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1 + 2 絕對排放（市場基礎）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2023 [X] tCO2e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-25%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2030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第三方有限確信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1 + 2 強度（tCO2e / 住房數）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2023 [X]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-30%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2030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內部稽核 + 確信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綠電比例（市場基礎）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2023 [X]%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30%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2030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T-REC 憑證 + 自發自用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能源強度（MJ / 住房數）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2023 [X]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-20%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2028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帳單對比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3（C1+C6+C7）盤查涵蓋率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2023 60%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2026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顧問報告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SBTi 1.5°C 路徑承諾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提交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SBTi 認證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淨零目標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2050 淨零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2050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TCFD 揭露追蹤</w:t>
            </w:r>
          </w:p>
        </w:tc>
      </w:tr>
    </w:tbl>
    <w:p>
      <w:pPr>
        <w:spacing w:after="40"/>
      </w:pP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7. 指標（Metrics &amp; Targets KPIs）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依 TCFD 構面 4 + ISSB S2 強制揭露：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2023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2022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YoY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揭露頁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1（tCO2e）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[Z]%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A4 數據附錄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2 — 地點基礎（tCO2e）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[Z]%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A4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2 — 市場基礎（tCO2e）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[Z]%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A4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3 — C1（tCO2e）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首年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A4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3 — C6（tCO2e）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首年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A4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3 — C7（tCO2e）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首年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A4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能源消耗總量（GJ）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[Z]%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A4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排放強度（tCO2e/住房數）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[Z]%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A4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綠電比例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A4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內部碳定價（NTD/tCO2e）（如有）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[N/A]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—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8. 未達標誠實揭露（反綠色洗白）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計畫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實際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調整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全據點 LED 完成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2023 全部完成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完成直營三館 80%，委託二館未啟動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委託經營邊界協商耗時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與委託方 2024 Q1 簽 MOU，2024 Q4 完成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3 全類別盤查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2023 完成 C1/C4/C6/C7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僅完成 C1/C6/C7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C4 上游運輸資料缺口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2024 與物流商建立資料交換機制</w:t>
            </w:r>
          </w:p>
        </w:tc>
      </w:tr>
    </w:tbl>
    <w:p>
      <w:pPr>
        <w:spacing w:after="40"/>
      </w:pP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9. 展望（Outlook）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 xml:space="preserve">本公司氣候揭露目前處於 </w:t>
      </w:r>
      <w:r>
        <w:rPr>
          <w:rFonts w:ascii="Calibri" w:hAnsi="Calibri" w:eastAsia="微軟正黑體"/>
          <w:b/>
          <w:sz w:val="22"/>
        </w:rPr>
        <w:t>TCFD 對齊、ISSB 過渡</w:t>
      </w:r>
      <w:r>
        <w:rPr>
          <w:rFonts w:ascii="Calibri" w:hAnsi="Calibri" w:eastAsia="微軟正黑體"/>
          <w:b w:val="0"/>
          <w:sz w:val="22"/>
        </w:rPr>
        <w:t xml:space="preserve"> 階段。2028 年金管會強制 ISSB S2 適用前，將在 2025–2027 年期間：</w:t>
      </w:r>
    </w:p>
    <w:p>
      <w:pPr>
        <w:pStyle w:val="ListNumber"/>
      </w:pPr>
      <w:r>
        <w:rPr>
          <w:rFonts w:ascii="Calibri" w:hAnsi="Calibri" w:eastAsia="微軟正黑體"/>
          <w:b w:val="0"/>
          <w:sz w:val="22"/>
        </w:rPr>
        <w:t>完成 Scope 3 全部相關類別盤查（除已排除的 C11 — 客戶體驗端用電已併入 S2）</w:t>
      </w:r>
    </w:p>
    <w:p>
      <w:pPr>
        <w:pStyle w:val="ListNumber"/>
      </w:pPr>
      <w:r>
        <w:rPr>
          <w:rFonts w:ascii="Calibri" w:hAnsi="Calibri" w:eastAsia="微軟正黑體"/>
          <w:b w:val="0"/>
          <w:sz w:val="22"/>
        </w:rPr>
        <w:t>提交 SBTi 1.5°C 路徑承諾（2027 前）</w:t>
      </w:r>
    </w:p>
    <w:p>
      <w:pPr>
        <w:pStyle w:val="ListNumber"/>
      </w:pPr>
      <w:r>
        <w:rPr>
          <w:rFonts w:ascii="Calibri" w:hAnsi="Calibri" w:eastAsia="微軟正黑體"/>
          <w:b w:val="0"/>
          <w:sz w:val="22"/>
        </w:rPr>
        <w:t>第三方確信由「有限確信」升級至「合理確信」（2029 目標）</w:t>
      </w:r>
    </w:p>
    <w:p>
      <w:pPr>
        <w:pStyle w:val="ListNumber"/>
      </w:pPr>
      <w:r>
        <w:rPr>
          <w:rFonts w:ascii="Calibri" w:hAnsi="Calibri" w:eastAsia="微軟正黑體"/>
          <w:b w:val="0"/>
          <w:sz w:val="22"/>
        </w:rPr>
        <w:t>與集團母公司力麗 / 力鵬紡織業同步淨零路徑（2050）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10. 章節檢核（依 SOP）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檢核</w:t>
            </w:r>
          </w:p>
        </w:tc>
        <w:tc>
          <w:tcPr>
            <w:tcW w:type="dxa" w:w="4536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通過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IRO 連結性（§1）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✅ 三類各列舉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治理連結（§2）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✅ 董事會 → 委員會 → 副總 → 辦公室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策略連結（§3）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✅ 三層策略整合公司整體營運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行動與資源（§5）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✅ 列具體行動 + 資源欄（部分占位待實填）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目標含基線 / 時程 / 驗證（§6）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✅ 7 項目標皆具三要素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未達標揭露（§8）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✅ 兩項實質揭露</w:t>
            </w:r>
          </w:p>
        </w:tc>
      </w:tr>
    </w:tbl>
    <w:p>
      <w:pPr>
        <w:spacing w:after="40"/>
      </w:pP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11. 數據鏈接（連結性追蹤）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本章引用之數據皆來自 `phase4-data-pack.xlsx`：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章節段落</w:t>
            </w:r>
          </w:p>
        </w:tc>
        <w:tc>
          <w:tcPr>
            <w:tcW w:type="dxa" w:w="302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xlsx Sheet</w:t>
            </w:r>
          </w:p>
        </w:tc>
        <w:tc>
          <w:tcPr>
            <w:tcW w:type="dxa" w:w="302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公式 / 範圍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§1.1 Scope 排放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`04_GHG_S1`, `05_GHG_S2`, `06_GHG_S3`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SUM by Scenario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§5 行動投入金額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`01_Versions`（外部欄）+ 財務系統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部門年度永續預算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§6 目標基線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`04/05/06_GHG_*` 2023 行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對應 base year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§7 KPI 趨勢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各 sheet `YoY_%` 欄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公式自動計算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§8 未達標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`01_Versions` Restatement_Flag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跨年差異追蹤</w:t>
            </w:r>
          </w:p>
        </w:tc>
      </w:tr>
    </w:tbl>
    <w:p>
      <w:pPr>
        <w:spacing w:after="40"/>
      </w:pP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12. GRI / SASB / TCFD / ISSB 對照（章節層級）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標準</w:t>
            </w:r>
          </w:p>
        </w:tc>
        <w:tc>
          <w:tcPr>
            <w:tcW w:type="dxa" w:w="302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揭露項</w:t>
            </w:r>
          </w:p>
        </w:tc>
        <w:tc>
          <w:tcPr>
            <w:tcW w:type="dxa" w:w="302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本章涵蓋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GRI 305-1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§1.1, §7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GRI 305-2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2（雙軌）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GRI 305-3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Scope 3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GRI 305-4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排放強度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GRI 305-5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排放減量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GRI 302-1, 302-3, 302-4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能源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§5, §7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TCFD G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治理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§2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TCFD 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策略 + 情境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§3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TCFD 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風險管理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TCFD M&amp;T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指標與目標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§6, §7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SASB SV-HL-130a.1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能源管理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§5, §7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ISSB S2 §29–§32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治理 / 策略 / 風險 / 指標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§2–§7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微軟正黑體"/>
          <w:b/>
          <w:color w:val="1F5F4A"/>
          <w:sz w:val="44"/>
        </w:rPr>
        <w:t>第四章　食品安全</w:t>
      </w:r>
    </w:p>
    <w:p>
      <w:pPr>
        <w:spacing w:after="80"/>
      </w:pPr>
      <w:r>
        <w:rPr>
          <w:rFonts w:ascii="Calibri" w:hAnsi="Calibri" w:eastAsia="微軟正黑體"/>
          <w:b w:val="0"/>
          <w:i/>
          <w:color w:val="555555"/>
          <w:sz w:val="20"/>
        </w:rPr>
        <w:t>適用框架：gri-416 / sasb-hl / haccp</w:t>
      </w:r>
    </w:p>
    <w:p>
      <w:pPr>
        <w:pStyle w:val="Heading2"/>
        <w:spacing w:before="240" w:after="120"/>
      </w:pPr>
      <w:r>
        <w:rPr>
          <w:rFonts w:ascii="Calibri" w:hAnsi="Calibri" w:eastAsia="微軟正黑體"/>
          <w:b/>
          <w:color w:val="1F5F4A"/>
          <w:sz w:val="36"/>
        </w:rPr>
        <w:t>第 5.1 章 — 食品安全與品質</w:t>
      </w:r>
    </w:p>
    <w:p>
      <w:pPr>
        <w:spacing w:after="80"/>
        <w:ind w:left="283"/>
      </w:pPr>
      <w:r>
        <w:rPr>
          <w:rFonts w:ascii="Calibri" w:hAnsi="Calibri" w:eastAsia="微軟正黑體"/>
          <w:b/>
          <w:i/>
          <w:color w:val="555555"/>
          <w:sz w:val="22"/>
        </w:rPr>
        <w:t>對應重大議題</w:t>
      </w:r>
      <w:r>
        <w:rPr>
          <w:rFonts w:ascii="Calibri" w:hAnsi="Calibri" w:eastAsia="微軟正黑體"/>
          <w:b w:val="0"/>
          <w:i/>
          <w:color w:val="555555"/>
          <w:sz w:val="22"/>
        </w:rPr>
        <w:t>：S6 食品安全（核心象限，雙軸雙 ≥4.5）</w:t>
      </w:r>
    </w:p>
    <w:p>
      <w:pPr>
        <w:spacing w:after="80"/>
        <w:ind w:left="283"/>
      </w:pPr>
      <w:r>
        <w:rPr>
          <w:rFonts w:ascii="Calibri" w:hAnsi="Calibri" w:eastAsia="微軟正黑體"/>
          <w:b/>
          <w:i/>
          <w:color w:val="555555"/>
          <w:sz w:val="22"/>
        </w:rPr>
        <w:t>適用標準</w:t>
      </w:r>
      <w:r>
        <w:rPr>
          <w:rFonts w:ascii="Calibri" w:hAnsi="Calibri" w:eastAsia="微軟正黑體"/>
          <w:b w:val="0"/>
          <w:i/>
          <w:color w:val="555555"/>
          <w:sz w:val="22"/>
        </w:rPr>
        <w:t>：GRI 416 客戶健康與安全 + SASB SV-HL-260a.1 + 食品安全衛生管理法</w:t>
      </w:r>
    </w:p>
    <w:p>
      <w:pPr>
        <w:spacing w:after="80"/>
        <w:ind w:left="283"/>
      </w:pPr>
      <w:r>
        <w:rPr>
          <w:rFonts w:ascii="Calibri" w:hAnsi="Calibri" w:eastAsia="微軟正黑體"/>
          <w:b/>
          <w:i/>
          <w:color w:val="555555"/>
          <w:sz w:val="22"/>
        </w:rPr>
        <w:t>章節公式</w:t>
      </w:r>
      <w:r>
        <w:rPr>
          <w:rFonts w:ascii="Calibri" w:hAnsi="Calibri" w:eastAsia="微軟正黑體"/>
          <w:b w:val="0"/>
          <w:i/>
          <w:color w:val="555555"/>
          <w:sz w:val="22"/>
        </w:rPr>
        <w:t>：IRO → 治理 → 策略 → 行動 → 目標 → KPI → 展望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1. IRO（Impact / Risk / Opportunity）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1.1 衝擊（Impact）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旅館業餐飲營收占比高（力麗 5 處據點均含早餐、宴會、合菜，餐飲營收占比達 [X]%），客戶健康與安全為核心責任。直接衝擊：每年服務超過 [N] 萬人次用餐，任何食安事件直接影響客戶健康。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1.2 風險（Risk）— 引用 IRO entity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對應 `entities/iros/S6-food-safety-risk-incident.md`：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子類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時間框架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財務影響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罰款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食安法第 44-49 條，最高 NTD 200 萬/件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短期（1y）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直接罰款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商譽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OTA 評論、新聞媒體擴散 → 訂房率、ADR 立即受創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短期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營收損失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連鎖訴訟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過敏標示缺失引發民事賠償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中期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賠償金、訴訟成本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微軟正黑體"/>
          <w:b/>
          <w:sz w:val="22"/>
        </w:rPr>
        <w:t>山區據點特殊風險</w:t>
      </w:r>
      <w:r>
        <w:rPr>
          <w:rFonts w:ascii="Calibri" w:hAnsi="Calibri" w:eastAsia="微軟正黑體"/>
          <w:b w:val="0"/>
          <w:sz w:val="22"/>
        </w:rPr>
        <w:t>：明池 / 棲蘭冷鏈與供應鏈傳遞距離長，食材變質風險高。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1.3 機會（Opportunity）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HACCP 認證行銷</w:t>
      </w:r>
      <w:r>
        <w:rPr>
          <w:rFonts w:ascii="Calibri" w:hAnsi="Calibri" w:eastAsia="微軟正黑體"/>
          <w:b w:val="0"/>
          <w:sz w:val="22"/>
        </w:rPr>
        <w:t>：取得獨立第三方認證可作為差異化定位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在地食材溯源</w:t>
      </w:r>
      <w:r>
        <w:rPr>
          <w:rFonts w:ascii="Calibri" w:hAnsi="Calibri" w:eastAsia="微軟正黑體"/>
          <w:b w:val="0"/>
          <w:sz w:val="22"/>
        </w:rPr>
        <w:t>：與宜蘭、南投在地小農合作 → 食材里程降低 + 在地創生 + 品牌故事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過敏友善定位</w:t>
      </w:r>
      <w:r>
        <w:rPr>
          <w:rFonts w:ascii="Calibri" w:hAnsi="Calibri" w:eastAsia="微軟正黑體"/>
          <w:b w:val="0"/>
          <w:sz w:val="22"/>
        </w:rPr>
        <w:t>：全餐飲據點建立過敏原管理 → 服務歐美、日本團體客的競爭優勢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2. 治理（Governance）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主責</w:t>
      </w:r>
      <w:r>
        <w:rPr>
          <w:rFonts w:ascii="Calibri" w:hAnsi="Calibri" w:eastAsia="微軟正黑體"/>
          <w:b w:val="0"/>
          <w:sz w:val="22"/>
        </w:rPr>
        <w:t>：餐飲部主管（每店一位）+ 集團總部餐飲處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監督</w:t>
      </w:r>
      <w:r>
        <w:rPr>
          <w:rFonts w:ascii="Calibri" w:hAnsi="Calibri" w:eastAsia="微軟正黑體"/>
          <w:b w:val="0"/>
          <w:sz w:val="22"/>
        </w:rPr>
        <w:t>：永續委員會「食品安全 / 顧客體驗」分組，每季 review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執行頻率</w:t>
      </w:r>
      <w:r>
        <w:rPr>
          <w:rFonts w:ascii="Calibri" w:hAnsi="Calibri" w:eastAsia="微軟正黑體"/>
          <w:b w:val="0"/>
          <w:sz w:val="22"/>
        </w:rPr>
        <w:t>：HACCP 內部稽核每月、外部稽核每年；食安事件 24 小時內報集團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董事會 KPI 連動</w:t>
      </w:r>
      <w:r>
        <w:rPr>
          <w:rFonts w:ascii="Calibri" w:hAnsi="Calibri" w:eastAsia="微軟正黑體"/>
          <w:b w:val="0"/>
          <w:sz w:val="22"/>
        </w:rPr>
        <w:t>：餐飲長績效考核含食安事件數（重大事件 1 件 = 年度考核扣 [N]%）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3. 策略（Strategy）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旅館業食安不只是「不出事」，而是建立「</w:t>
      </w:r>
      <w:r>
        <w:rPr>
          <w:rFonts w:ascii="Calibri" w:hAnsi="Calibri" w:eastAsia="微軟正黑體"/>
          <w:b/>
          <w:sz w:val="22"/>
        </w:rPr>
        <w:t>信任 supply chain</w:t>
      </w:r>
      <w:r>
        <w:rPr>
          <w:rFonts w:ascii="Calibri" w:hAnsi="Calibri" w:eastAsia="微軟正黑體"/>
          <w:b w:val="0"/>
          <w:sz w:val="22"/>
        </w:rPr>
        <w:t>」。三層策略：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預防層</w:t>
      </w:r>
      <w:r>
        <w:rPr>
          <w:rFonts w:ascii="Calibri" w:hAnsi="Calibri" w:eastAsia="微軟正黑體"/>
          <w:b w:val="0"/>
          <w:sz w:val="22"/>
        </w:rPr>
        <w:t>：HACCP 體系全據點覆蓋 + 食材供應商 ESG 評估（含食品安全管理系統）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監控層</w:t>
      </w:r>
      <w:r>
        <w:rPr>
          <w:rFonts w:ascii="Calibri" w:hAnsi="Calibri" w:eastAsia="微軟正黑體"/>
          <w:b w:val="0"/>
          <w:sz w:val="22"/>
        </w:rPr>
        <w:t>：每月微生物檢驗、每季食材源頭稽核、即時溫度監控（冷鏈）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回應層</w:t>
      </w:r>
      <w:r>
        <w:rPr>
          <w:rFonts w:ascii="Calibri" w:hAnsi="Calibri" w:eastAsia="微軟正黑體"/>
          <w:b w:val="0"/>
          <w:sz w:val="22"/>
        </w:rPr>
        <w:t>：食安事件 SOP（24 小時通報 + 7 日內客戶補償 + 30 日內根因分析）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4. 行動方案（Actions）2025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投入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完成時間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全據點 HACCP 換證更新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[X] 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餐飲部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Q2 2025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過敏原管理系統建置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[Y] 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餐飲部 + IT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Q3 2025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在地食材溯源試點（明池/月潭）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[Z] 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餐飲 + 採購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Q4 2025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食安事件回應 SOP 演練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每店 2 次/年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餐飲部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全年</w:t>
            </w:r>
          </w:p>
        </w:tc>
      </w:tr>
    </w:tbl>
    <w:p>
      <w:pPr>
        <w:spacing w:after="40"/>
      </w:pP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5. 目標（Targets）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對應 `entities/targets/`（待 R7 補食安類 target entity）：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基線（2023）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時程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驗證路徑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HACCP 認證據點覆蓋率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2026 100%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第三方認證機構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食安重大事件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[N] 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2026 ≤ 0 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內部稽核 + 主管機關通報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在地食材比例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2030 ≥ 30%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採購系統追蹤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過敏標示完整率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[Z]%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2025 100%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內部 audit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 xml:space="preserve">⚠️ </w:t>
      </w:r>
      <w:r>
        <w:rPr>
          <w:rFonts w:ascii="Calibri" w:hAnsi="Calibri" w:eastAsia="微軟正黑體"/>
          <w:b/>
          <w:sz w:val="22"/>
        </w:rPr>
        <w:t>三要素檢查</w:t>
      </w:r>
      <w:r>
        <w:rPr>
          <w:rFonts w:ascii="Calibri" w:hAnsi="Calibri" w:eastAsia="微軟正黑體"/>
          <w:b w:val="0"/>
          <w:sz w:val="22"/>
        </w:rPr>
        <w:t>：基線 ✅ / 時程 ✅ / 驗證路徑 ✅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6. KPI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2023 baseline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2024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2025 placeholder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單位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食安事件數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[N]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[N]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0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HACCP 認證範圍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[X]% 據點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100%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食材檢驗次數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[Y]/月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≥ 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客訴食品相關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[Z]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[Z]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≤ Z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件/萬人次</w:t>
            </w:r>
          </w:p>
        </w:tc>
      </w:tr>
    </w:tbl>
    <w:p>
      <w:pPr>
        <w:spacing w:after="40"/>
      </w:pP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7. 展望與誠實揭露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2024 未達標項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依力麗 2023 報告書 §7.4（_legacy/phase7-pdf-extract.md），原版</w:t>
      </w:r>
      <w:r>
        <w:rPr>
          <w:rFonts w:ascii="Calibri" w:hAnsi="Calibri" w:eastAsia="微軟正黑體"/>
          <w:b/>
          <w:sz w:val="22"/>
        </w:rPr>
        <w:t>僅 GRI 416 列入 GRI Index 但無獨立深度揭露</w:t>
      </w:r>
      <w:r>
        <w:rPr>
          <w:rFonts w:ascii="Calibri" w:hAnsi="Calibri" w:eastAsia="微軟正黑體"/>
          <w:b w:val="0"/>
          <w:sz w:val="22"/>
        </w:rPr>
        <w:t>。試做 2025 升級包含：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HACCP 證書編號 + 有效期完整揭露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食安事件分嚴重度逐件揭露（過去從未做）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過敏標示稽核結果 100% 揭露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改善路徑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2025</w:t>
      </w:r>
      <w:r>
        <w:rPr>
          <w:rFonts w:ascii="Calibri" w:hAnsi="Calibri" w:eastAsia="微軟正黑體"/>
          <w:b w:val="0"/>
          <w:sz w:val="22"/>
        </w:rPr>
        <w:t>：完成全據點 HACCP 換證 + 過敏原管理上線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2026</w:t>
      </w:r>
      <w:r>
        <w:rPr>
          <w:rFonts w:ascii="Calibri" w:hAnsi="Calibri" w:eastAsia="微軟正黑體"/>
          <w:b w:val="0"/>
          <w:sz w:val="22"/>
        </w:rPr>
        <w:t>：申請 ISO 22000 整合認證（旅館業少有）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2027</w:t>
      </w:r>
      <w:r>
        <w:rPr>
          <w:rFonts w:ascii="Calibri" w:hAnsi="Calibri" w:eastAsia="微軟正黑體"/>
          <w:b w:val="0"/>
          <w:sz w:val="22"/>
        </w:rPr>
        <w:t>：在地食材碳足跡 pilot 完成、納入碳揭露</w:t>
      </w:r>
    </w:p>
    <w:p>
      <w:pPr>
        <w:pBdr>
          <w:bottom w:val="single" w:sz="6" w:color="888888"/>
        </w:pBdr>
        <w:spacing w:after="80"/>
      </w:pPr>
    </w:p>
    <w:p>
      <w:pPr>
        <w:spacing w:after="80"/>
      </w:pPr>
      <w:r>
        <w:rPr>
          <w:rFonts w:ascii="Calibri" w:hAnsi="Calibri" w:eastAsia="微軟正黑體"/>
          <w:b/>
          <w:sz w:val="22"/>
        </w:rPr>
        <w:t>對應 IRO</w:t>
      </w:r>
      <w:r>
        <w:rPr>
          <w:rFonts w:ascii="Calibri" w:hAnsi="Calibri" w:eastAsia="微軟正黑體"/>
          <w:b w:val="0"/>
          <w:sz w:val="22"/>
        </w:rPr>
        <w:t>：`entities/iros/S6-food-safety-risk-incident.md`</w:t>
      </w:r>
    </w:p>
    <w:p>
      <w:pPr>
        <w:spacing w:after="80"/>
      </w:pPr>
      <w:r>
        <w:rPr>
          <w:rFonts w:ascii="Calibri" w:hAnsi="Calibri" w:eastAsia="微軟正黑體"/>
          <w:b/>
          <w:sz w:val="22"/>
        </w:rPr>
        <w:t>對應 Topic</w:t>
      </w:r>
      <w:r>
        <w:rPr>
          <w:rFonts w:ascii="Calibri" w:hAnsi="Calibri" w:eastAsia="微軟正黑體"/>
          <w:b w:val="0"/>
          <w:sz w:val="22"/>
        </w:rPr>
        <w:t>：`entities/topics/S6-food-safety.md`</w:t>
      </w:r>
    </w:p>
    <w:p>
      <w:pPr>
        <w:spacing w:after="80"/>
      </w:pPr>
      <w:r>
        <w:rPr>
          <w:rFonts w:ascii="Calibri" w:hAnsi="Calibri" w:eastAsia="微軟正黑體"/>
          <w:b/>
          <w:sz w:val="22"/>
        </w:rPr>
        <w:t>對應 KPI</w:t>
      </w:r>
      <w:r>
        <w:rPr>
          <w:rFonts w:ascii="Calibri" w:hAnsi="Calibri" w:eastAsia="微軟正黑體"/>
          <w:b w:val="0"/>
          <w:sz w:val="22"/>
        </w:rPr>
        <w:t>：`entities/kpis/food-safety-incidents.md`</w:t>
      </w:r>
    </w:p>
    <w:p>
      <w:pPr>
        <w:spacing w:after="80"/>
      </w:pPr>
      <w:r>
        <w:rPr>
          <w:rFonts w:ascii="Calibri" w:hAnsi="Calibri" w:eastAsia="微軟正黑體"/>
          <w:b/>
          <w:sz w:val="22"/>
        </w:rPr>
        <w:t>章節骨架</w:t>
      </w:r>
      <w:r>
        <w:rPr>
          <w:rFonts w:ascii="Calibri" w:hAnsi="Calibri" w:eastAsia="微軟正黑體"/>
          <w:b w:val="0"/>
          <w:sz w:val="22"/>
        </w:rPr>
        <w:t>：`projects/2025-sustainability-report/chapters/_skeleton.md` §5.1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微軟正黑體"/>
          <w:b/>
          <w:color w:val="1F5F4A"/>
          <w:sz w:val="44"/>
        </w:rPr>
        <w:t>第五章　客戶隱私</w:t>
      </w:r>
    </w:p>
    <w:p>
      <w:pPr>
        <w:spacing w:after="80"/>
      </w:pPr>
      <w:r>
        <w:rPr>
          <w:rFonts w:ascii="Calibri" w:hAnsi="Calibri" w:eastAsia="微軟正黑體"/>
          <w:b w:val="0"/>
          <w:i/>
          <w:color w:val="555555"/>
          <w:sz w:val="20"/>
        </w:rPr>
        <w:t>適用框架：gri-418 / iso-27001 / pci-dss</w:t>
      </w:r>
    </w:p>
    <w:p>
      <w:pPr>
        <w:pStyle w:val="Heading2"/>
        <w:spacing w:before="240" w:after="120"/>
      </w:pPr>
      <w:r>
        <w:rPr>
          <w:rFonts w:ascii="Calibri" w:hAnsi="Calibri" w:eastAsia="微軟正黑體"/>
          <w:b/>
          <w:color w:val="1F5F4A"/>
          <w:sz w:val="36"/>
        </w:rPr>
        <w:t>第 5.2 章 — 顧客隱私與資訊安全</w:t>
      </w:r>
    </w:p>
    <w:p>
      <w:pPr>
        <w:spacing w:after="80"/>
        <w:ind w:left="283"/>
      </w:pPr>
      <w:r>
        <w:rPr>
          <w:rFonts w:ascii="Calibri" w:hAnsi="Calibri" w:eastAsia="微軟正黑體"/>
          <w:b/>
          <w:i/>
          <w:color w:val="555555"/>
          <w:sz w:val="22"/>
        </w:rPr>
        <w:t>對應重大議題</w:t>
      </w:r>
      <w:r>
        <w:rPr>
          <w:rFonts w:ascii="Calibri" w:hAnsi="Calibri" w:eastAsia="微軟正黑體"/>
          <w:b w:val="0"/>
          <w:i/>
          <w:color w:val="555555"/>
          <w:sz w:val="22"/>
        </w:rPr>
        <w:t>：S7 客戶隱私（核心象限 Financial ≥4.0） + G4 資訊安全</w:t>
      </w:r>
    </w:p>
    <w:p>
      <w:pPr>
        <w:spacing w:after="80"/>
        <w:ind w:left="283"/>
      </w:pPr>
      <w:r>
        <w:rPr>
          <w:rFonts w:ascii="Calibri" w:hAnsi="Calibri" w:eastAsia="微軟正黑體"/>
          <w:b/>
          <w:i/>
          <w:color w:val="555555"/>
          <w:sz w:val="22"/>
        </w:rPr>
        <w:t>適用標準</w:t>
      </w:r>
      <w:r>
        <w:rPr>
          <w:rFonts w:ascii="Calibri" w:hAnsi="Calibri" w:eastAsia="微軟正黑體"/>
          <w:b w:val="0"/>
          <w:i/>
          <w:color w:val="555555"/>
          <w:sz w:val="22"/>
        </w:rPr>
        <w:t>：GRI 418 客戶隱私 + ISO 27001 + 個人資料保護法 + 觀光產業實務指引</w:t>
      </w:r>
    </w:p>
    <w:p>
      <w:pPr>
        <w:spacing w:after="80"/>
        <w:ind w:left="283"/>
      </w:pPr>
      <w:r>
        <w:rPr>
          <w:rFonts w:ascii="Calibri" w:hAnsi="Calibri" w:eastAsia="微軟正黑體"/>
          <w:b/>
          <w:i/>
          <w:color w:val="555555"/>
          <w:sz w:val="22"/>
        </w:rPr>
        <w:t>章節公式</w:t>
      </w:r>
      <w:r>
        <w:rPr>
          <w:rFonts w:ascii="Calibri" w:hAnsi="Calibri" w:eastAsia="微軟正黑體"/>
          <w:b w:val="0"/>
          <w:i/>
          <w:color w:val="555555"/>
          <w:sz w:val="22"/>
        </w:rPr>
        <w:t>：IRO → 治理 → 策略 → 行動 → 目標 → KPI → 展望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1. IRO（Impact / Risk / Opportunity）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1.1 衝擊（Impact）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 xml:space="preserve">旅館業是 </w:t>
      </w:r>
      <w:r>
        <w:rPr>
          <w:rFonts w:ascii="Calibri" w:hAnsi="Calibri" w:eastAsia="微軟正黑體"/>
          <w:b/>
          <w:sz w:val="22"/>
        </w:rPr>
        <w:t>PII 密集行業</w:t>
      </w:r>
      <w:r>
        <w:rPr>
          <w:rFonts w:ascii="Calibri" w:hAnsi="Calibri" w:eastAsia="微軟正黑體"/>
          <w:b w:val="0"/>
          <w:sz w:val="22"/>
        </w:rPr>
        <w:t>：每筆訂房含姓名 / 身分證字號 / 信用卡 / 聯絡資訊 / 旅伴關係 / 飲食偏好 / 健康狀況（過敏原）等。會員制更聚積多年消費行為與位置軌跡。一筆資料外洩衝擊：個人隱私 + 信任 + 潛在被詐騙風險。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1.2 風險（Risk）— 引用 IRO entity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對應 `entities/iros/S7-customer-privacy-risk-leak.md`：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子類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時間框架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財務影響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法規罰款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個資法第 47 條，最高 NTD 2,000 萬/件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短期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高額罰款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集體訴訟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大規模洩漏可能引發消費者集體訴訟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中期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賠償金 + 法律費用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商譽崩潰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國際商務客 / 高端會員流失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短期 → 中期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訂房率、會員 retention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信用卡濫用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PCI-DSS 違規 → 卡片網絡罰款 + 終止合作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短期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收款管道喪失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微軟正黑體"/>
          <w:b/>
          <w:sz w:val="22"/>
        </w:rPr>
        <w:t>旅館業特殊</w:t>
      </w:r>
      <w:r>
        <w:rPr>
          <w:rFonts w:ascii="Calibri" w:hAnsi="Calibri" w:eastAsia="微軟正黑體"/>
          <w:b w:val="0"/>
          <w:sz w:val="22"/>
        </w:rPr>
        <w:t>：監控影像 + 房卡使用紀錄 + Wi-Fi 連線紀錄都是個資；員工流動率高，內部濫用風險不低。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1.3 機會（Opportunity）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ISO 27001 認證行銷</w:t>
      </w:r>
      <w:r>
        <w:rPr>
          <w:rFonts w:ascii="Calibri" w:hAnsi="Calibri" w:eastAsia="微軟正黑體"/>
          <w:b w:val="0"/>
          <w:sz w:val="22"/>
        </w:rPr>
        <w:t>：旅館業普及率低，取得認證可作為高端商務 / 國際客的差異化定位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會員資料管理透明化</w:t>
      </w:r>
      <w:r>
        <w:rPr>
          <w:rFonts w:ascii="Calibri" w:hAnsi="Calibri" w:eastAsia="微軟正黑體"/>
          <w:b w:val="0"/>
          <w:sz w:val="22"/>
        </w:rPr>
        <w:t>：明確說明資料使用目的 + opt-in 機制 → 反向強化品牌信任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資安投入 ROI</w:t>
      </w:r>
      <w:r>
        <w:rPr>
          <w:rFonts w:ascii="Calibri" w:hAnsi="Calibri" w:eastAsia="微軟正黑體"/>
          <w:b w:val="0"/>
          <w:sz w:val="22"/>
        </w:rPr>
        <w:t>：阻擋一次重大事件節省 NTD [X] 千萬，遠超系統建置成本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2. 治理（Governance）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主責</w:t>
      </w:r>
      <w:r>
        <w:rPr>
          <w:rFonts w:ascii="Calibri" w:hAnsi="Calibri" w:eastAsia="微軟正黑體"/>
          <w:b w:val="0"/>
          <w:sz w:val="22"/>
        </w:rPr>
        <w:t>：IT 部主管 + 法務（個資法 / GDPR / CCPA 對應）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監督</w:t>
      </w:r>
      <w:r>
        <w:rPr>
          <w:rFonts w:ascii="Calibri" w:hAnsi="Calibri" w:eastAsia="微軟正黑體"/>
          <w:b w:val="0"/>
          <w:sz w:val="22"/>
        </w:rPr>
        <w:t>：永續委員會「資訊安全」分組（如未獨立分組則由治理結構分組覆蓋），每季 review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執行頻率</w:t>
      </w:r>
      <w:r>
        <w:rPr>
          <w:rFonts w:ascii="Calibri" w:hAnsi="Calibri" w:eastAsia="微軟正黑體"/>
          <w:b w:val="0"/>
          <w:sz w:val="22"/>
        </w:rPr>
        <w:t>：資安內部稽核每月、外部滲透測試每年；資安事件 4 小時內報集團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董事會 KPI 連動</w:t>
      </w:r>
      <w:r>
        <w:rPr>
          <w:rFonts w:ascii="Calibri" w:hAnsi="Calibri" w:eastAsia="微軟正黑體"/>
          <w:b w:val="0"/>
          <w:sz w:val="22"/>
        </w:rPr>
        <w:t>：資訊長績效考核含資安事件嚴重度（單件 critical 事件 = 年度扣 [N]%）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3. 策略（Strategy）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旅館業資安不是「跟 IT 公司一樣」，而是要對應</w:t>
      </w:r>
      <w:r>
        <w:rPr>
          <w:rFonts w:ascii="Calibri" w:hAnsi="Calibri" w:eastAsia="微軟正黑體"/>
          <w:b/>
          <w:sz w:val="22"/>
        </w:rPr>
        <w:t>多點接觸的 PII 流</w:t>
      </w:r>
      <w:r>
        <w:rPr>
          <w:rFonts w:ascii="Calibri" w:hAnsi="Calibri" w:eastAsia="微軟正黑體"/>
          <w:b w:val="0"/>
          <w:sz w:val="22"/>
        </w:rPr>
        <w:t>：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資料最小化層</w:t>
      </w:r>
      <w:r>
        <w:rPr>
          <w:rFonts w:ascii="Calibri" w:hAnsi="Calibri" w:eastAsia="微軟正黑體"/>
          <w:b w:val="0"/>
          <w:sz w:val="22"/>
        </w:rPr>
        <w:t>：訂房 / 入住流程只收集必要欄位，避免「為以後可能用而蒐集」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存取控制層</w:t>
      </w:r>
      <w:r>
        <w:rPr>
          <w:rFonts w:ascii="Calibri" w:hAnsi="Calibri" w:eastAsia="微軟正黑體"/>
          <w:b w:val="0"/>
          <w:sz w:val="22"/>
        </w:rPr>
        <w:t>：員工帳號最小權限 + 多因子驗證 + 監控異常存取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加密層</w:t>
      </w:r>
      <w:r>
        <w:rPr>
          <w:rFonts w:ascii="Calibri" w:hAnsi="Calibri" w:eastAsia="微軟正黑體"/>
          <w:b w:val="0"/>
          <w:sz w:val="22"/>
        </w:rPr>
        <w:t>：傳輸 TLS 1.3 + 儲存加密 + 信用卡 token 化（PCI-DSS）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回應層</w:t>
      </w:r>
      <w:r>
        <w:rPr>
          <w:rFonts w:ascii="Calibri" w:hAnsi="Calibri" w:eastAsia="微軟正黑體"/>
          <w:b w:val="0"/>
          <w:sz w:val="22"/>
        </w:rPr>
        <w:t>：資安事件 SOP（4 小時通報主管機關 + 7 日通報受影響客戶 + 30 日內根因分析 + 補救）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4. 行動方案（Actions）2025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投入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完成時間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ISO 27001 認證申請（試點據點）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[X] 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IT + 法務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Q4 2025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員工資安訓練 100% 覆蓋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[Y] 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HR + IT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全年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PII 資料盤點與最小化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[Z] 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IT + 法務 + 餐飲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Q2 2025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滲透測試（年度）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[W] 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IT 外包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Q3 2025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個資法 GDPR 對應更新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內部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法務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Q1 2025</w:t>
            </w:r>
          </w:p>
        </w:tc>
      </w:tr>
    </w:tbl>
    <w:p>
      <w:pPr>
        <w:spacing w:after="40"/>
      </w:pP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5. 目標（Targets）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對應 `entities/targets/`（待 R7 補資安類 target entity）：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基線（2023）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時程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驗證路徑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資安重大事件數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[N]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2025 0 件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內部稽核 + 主管機關通報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ISO 27001 認證據點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2026 至少 1 處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外部認證機構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員工資安訓練覆蓋率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2025 100%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HR 系統追蹤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信用卡 token 化比例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2025 100%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PCI-DSS audit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 xml:space="preserve">⚠️ </w:t>
      </w:r>
      <w:r>
        <w:rPr>
          <w:rFonts w:ascii="Calibri" w:hAnsi="Calibri" w:eastAsia="微軟正黑體"/>
          <w:b/>
          <w:sz w:val="22"/>
        </w:rPr>
        <w:t>三要素檢查</w:t>
      </w:r>
      <w:r>
        <w:rPr>
          <w:rFonts w:ascii="Calibri" w:hAnsi="Calibri" w:eastAsia="微軟正黑體"/>
          <w:b w:val="0"/>
          <w:sz w:val="22"/>
        </w:rPr>
        <w:t>：基線 ✅ / 時程 ✅ / 驗證路徑 ✅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6. KPI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2023 baseline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2024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2025 placeholder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單位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資安事件數（按嚴重度）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[N0]/[N1]/[N2]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[N]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0 critical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個資主體請求回覆時間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≤ 7 日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員工資安訓練時數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[Y]/人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≥ 4 hr/人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小時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員工資安違規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[Z]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[Z]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≤ Z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件</w:t>
            </w:r>
          </w:p>
        </w:tc>
      </w:tr>
    </w:tbl>
    <w:p>
      <w:pPr>
        <w:spacing w:after="40"/>
      </w:pP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7. 展望與誠實揭露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2024 未達標項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依力麗 2023 報告書（_legacy/phase7-gap-analysis §1），原版</w:t>
      </w:r>
      <w:r>
        <w:rPr>
          <w:rFonts w:ascii="Calibri" w:hAnsi="Calibri" w:eastAsia="微軟正黑體"/>
          <w:b/>
          <w:sz w:val="22"/>
        </w:rPr>
        <w:t>僅 GRI 418 列入 Index、無獨立章節揭露</w:t>
      </w:r>
      <w:r>
        <w:rPr>
          <w:rFonts w:ascii="Calibri" w:hAnsi="Calibri" w:eastAsia="微軟正黑體"/>
          <w:b w:val="0"/>
          <w:sz w:val="22"/>
        </w:rPr>
        <w:t>。試做 2025 升級包含：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資安事件分嚴重度逐件揭露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個資主體權利請求數量 / 回覆時間揭露（GDPR / 個資法）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監控影像與 Wi-Fi 紀錄保存期限政策明文揭露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改善路徑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2025</w:t>
      </w:r>
      <w:r>
        <w:rPr>
          <w:rFonts w:ascii="Calibri" w:hAnsi="Calibri" w:eastAsia="微軟正黑體"/>
          <w:b w:val="0"/>
          <w:sz w:val="22"/>
        </w:rPr>
        <w:t>：完成 PII 盤點、ISO 27001 試點申請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2026</w:t>
      </w:r>
      <w:r>
        <w:rPr>
          <w:rFonts w:ascii="Calibri" w:hAnsi="Calibri" w:eastAsia="微軟正黑體"/>
          <w:b w:val="0"/>
          <w:sz w:val="22"/>
        </w:rPr>
        <w:t>：ISO 27001 認證至少 1 處；國際監管對應（GDPR / CCPA）完整化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2027</w:t>
      </w:r>
      <w:r>
        <w:rPr>
          <w:rFonts w:ascii="Calibri" w:hAnsi="Calibri" w:eastAsia="微軟正黑體"/>
          <w:b w:val="0"/>
          <w:sz w:val="22"/>
        </w:rPr>
        <w:t>：擴展認證至全據點；考慮 PCI-DSS L1 認證（高端會員消費密度提升時）</w:t>
      </w:r>
    </w:p>
    <w:p>
      <w:pPr>
        <w:pBdr>
          <w:bottom w:val="single" w:sz="6" w:color="888888"/>
        </w:pBdr>
        <w:spacing w:after="80"/>
      </w:pPr>
    </w:p>
    <w:p>
      <w:pPr>
        <w:spacing w:after="80"/>
      </w:pPr>
      <w:r>
        <w:rPr>
          <w:rFonts w:ascii="Calibri" w:hAnsi="Calibri" w:eastAsia="微軟正黑體"/>
          <w:b/>
          <w:sz w:val="22"/>
        </w:rPr>
        <w:t>對應 IRO</w:t>
      </w:r>
      <w:r>
        <w:rPr>
          <w:rFonts w:ascii="Calibri" w:hAnsi="Calibri" w:eastAsia="微軟正黑體"/>
          <w:b w:val="0"/>
          <w:sz w:val="22"/>
        </w:rPr>
        <w:t>：`entities/iros/S7-customer-privacy-risk-leak.md`</w:t>
      </w:r>
    </w:p>
    <w:p>
      <w:pPr>
        <w:spacing w:after="80"/>
      </w:pPr>
      <w:r>
        <w:rPr>
          <w:rFonts w:ascii="Calibri" w:hAnsi="Calibri" w:eastAsia="微軟正黑體"/>
          <w:b/>
          <w:sz w:val="22"/>
        </w:rPr>
        <w:t>對應 Topic</w:t>
      </w:r>
      <w:r>
        <w:rPr>
          <w:rFonts w:ascii="Calibri" w:hAnsi="Calibri" w:eastAsia="微軟正黑體"/>
          <w:b w:val="0"/>
          <w:sz w:val="22"/>
        </w:rPr>
        <w:t>：`entities/topics/S7-customer-privacy.md`、`entities/topics/G4-information-security.md`</w:t>
      </w:r>
    </w:p>
    <w:p>
      <w:pPr>
        <w:spacing w:after="80"/>
      </w:pPr>
      <w:r>
        <w:rPr>
          <w:rFonts w:ascii="Calibri" w:hAnsi="Calibri" w:eastAsia="微軟正黑體"/>
          <w:b/>
          <w:sz w:val="22"/>
        </w:rPr>
        <w:t>對應 KPI</w:t>
      </w:r>
      <w:r>
        <w:rPr>
          <w:rFonts w:ascii="Calibri" w:hAnsi="Calibri" w:eastAsia="微軟正黑體"/>
          <w:b w:val="0"/>
          <w:sz w:val="22"/>
        </w:rPr>
        <w:t>：`entities/kpis/privacy-incidents.md`</w:t>
      </w:r>
    </w:p>
    <w:p>
      <w:pPr>
        <w:spacing w:after="80"/>
      </w:pPr>
      <w:r>
        <w:rPr>
          <w:rFonts w:ascii="Calibri" w:hAnsi="Calibri" w:eastAsia="微軟正黑體"/>
          <w:b/>
          <w:sz w:val="22"/>
        </w:rPr>
        <w:t>章節骨架</w:t>
      </w:r>
      <w:r>
        <w:rPr>
          <w:rFonts w:ascii="Calibri" w:hAnsi="Calibri" w:eastAsia="微軟正黑體"/>
          <w:b w:val="0"/>
          <w:sz w:val="22"/>
        </w:rPr>
        <w:t>：`projects/2025-sustainability-report/chapters/_skeleton.md` §5.2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微軟正黑體"/>
          <w:b/>
          <w:color w:val="1F5F4A"/>
          <w:sz w:val="44"/>
        </w:rPr>
        <w:t>第六章　在地共融與文化保存</w:t>
      </w:r>
    </w:p>
    <w:p>
      <w:pPr>
        <w:spacing w:after="80"/>
      </w:pPr>
      <w:r>
        <w:rPr>
          <w:rFonts w:ascii="Calibri" w:hAnsi="Calibri" w:eastAsia="微軟正黑體"/>
          <w:b w:val="0"/>
          <w:i/>
          <w:color w:val="555555"/>
          <w:sz w:val="20"/>
        </w:rPr>
        <w:t>適用框架：gri-411 / gri-413 / sasb-hl</w:t>
      </w:r>
    </w:p>
    <w:p>
      <w:pPr>
        <w:pStyle w:val="Heading2"/>
        <w:spacing w:before="240" w:after="120"/>
      </w:pPr>
      <w:r>
        <w:rPr>
          <w:rFonts w:ascii="Calibri" w:hAnsi="Calibri" w:eastAsia="微軟正黑體"/>
          <w:b/>
          <w:color w:val="1F5F4A"/>
          <w:sz w:val="36"/>
        </w:rPr>
        <w:t>第 6.1 章 — 在地共融與文化保存</w:t>
      </w:r>
    </w:p>
    <w:p>
      <w:pPr>
        <w:spacing w:after="80"/>
        <w:ind w:left="283"/>
      </w:pPr>
      <w:r>
        <w:rPr>
          <w:rFonts w:ascii="Calibri" w:hAnsi="Calibri" w:eastAsia="微軟正黑體"/>
          <w:b/>
          <w:i/>
          <w:color w:val="555555"/>
          <w:sz w:val="22"/>
        </w:rPr>
        <w:t>對應重大議題</w:t>
      </w:r>
      <w:r>
        <w:rPr>
          <w:rFonts w:ascii="Calibri" w:hAnsi="Calibri" w:eastAsia="微軟正黑體"/>
          <w:b w:val="0"/>
          <w:i/>
          <w:color w:val="555555"/>
          <w:sz w:val="22"/>
        </w:rPr>
        <w:t>：S10 在地僱用 + S12 文化保存與原民共榮（重大象限，SP1-004 旅館業特化納入）</w:t>
      </w:r>
    </w:p>
    <w:p>
      <w:pPr>
        <w:spacing w:after="80"/>
        <w:ind w:left="283"/>
      </w:pPr>
      <w:r>
        <w:rPr>
          <w:rFonts w:ascii="Calibri" w:hAnsi="Calibri" w:eastAsia="微軟正黑體"/>
          <w:b/>
          <w:i/>
          <w:color w:val="555555"/>
          <w:sz w:val="22"/>
        </w:rPr>
        <w:t>適用標準</w:t>
      </w:r>
      <w:r>
        <w:rPr>
          <w:rFonts w:ascii="Calibri" w:hAnsi="Calibri" w:eastAsia="微軟正黑體"/>
          <w:b w:val="0"/>
          <w:i/>
          <w:color w:val="555555"/>
          <w:sz w:val="22"/>
        </w:rPr>
        <w:t>：GRI 411 原住民權利 + GRI 413 在地社區 + SASB SV-HL-310a.1 + 原住民族基本法</w:t>
      </w:r>
    </w:p>
    <w:p>
      <w:pPr>
        <w:spacing w:after="80"/>
        <w:ind w:left="283"/>
      </w:pPr>
      <w:r>
        <w:rPr>
          <w:rFonts w:ascii="Calibri" w:hAnsi="Calibri" w:eastAsia="微軟正黑體"/>
          <w:b/>
          <w:i/>
          <w:color w:val="555555"/>
          <w:sz w:val="22"/>
        </w:rPr>
        <w:t>章節公式</w:t>
      </w:r>
      <w:r>
        <w:rPr>
          <w:rFonts w:ascii="Calibri" w:hAnsi="Calibri" w:eastAsia="微軟正黑體"/>
          <w:b w:val="0"/>
          <w:i/>
          <w:color w:val="555555"/>
          <w:sz w:val="22"/>
        </w:rPr>
        <w:t>：IRO → 治理 → 策略 → 行動 → 目標 → KPI → 展望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1. IRO（Impact / Risk / Opportunity）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1.1 衝擊（Impact）— 引用 IRO entity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對應 `entities/iros/S12-indigenous-culture-impact-preservation.md` + `S10-local-employment-impact-economy.md`：</w:t>
      </w:r>
    </w:p>
    <w:p>
      <w:pPr>
        <w:spacing w:after="80"/>
      </w:pPr>
      <w:r>
        <w:rPr>
          <w:rFonts w:ascii="Calibri" w:hAnsi="Calibri" w:eastAsia="微軟正黑體"/>
          <w:b/>
          <w:sz w:val="22"/>
        </w:rPr>
        <w:t>馬告生態園區與泰雅族部落</w:t>
      </w:r>
      <w:r>
        <w:rPr>
          <w:rFonts w:ascii="Calibri" w:hAnsi="Calibri" w:eastAsia="微軟正黑體"/>
          <w:b w:val="0"/>
          <w:sz w:val="22"/>
        </w:rPr>
        <w:t>：力麗明池、棲蘭兩處據點位於宜蘭縣大同鄉，鄰近泰雅族傳統領域與部落（南山、四季、英士等）。旅館營運直接影響：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文化保存衝擊</w:t>
      </w:r>
      <w:r>
        <w:rPr>
          <w:rFonts w:ascii="Calibri" w:hAnsi="Calibri" w:eastAsia="微軟正黑體"/>
          <w:b w:val="0"/>
          <w:sz w:val="22"/>
        </w:rPr>
        <w:t>：營運中</w:t>
      </w:r>
      <w:r>
        <w:rPr>
          <w:rFonts w:ascii="Calibri" w:hAnsi="Calibri" w:eastAsia="微軟正黑體"/>
          <w:b/>
          <w:sz w:val="22"/>
        </w:rPr>
        <w:t>呈現 / 包裝 / 傳承</w:t>
      </w:r>
      <w:r>
        <w:rPr>
          <w:rFonts w:ascii="Calibri" w:hAnsi="Calibri" w:eastAsia="微軟正黑體"/>
          <w:b w:val="0"/>
          <w:sz w:val="22"/>
        </w:rPr>
        <w:t>部落文化的方式，會塑造遊客對泰雅族的認知（正向或扁平化）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在地經濟衝擊</w:t>
      </w:r>
      <w:r>
        <w:rPr>
          <w:rFonts w:ascii="Calibri" w:hAnsi="Calibri" w:eastAsia="微軟正黑體"/>
          <w:b w:val="0"/>
          <w:sz w:val="22"/>
        </w:rPr>
        <w:t>：當地僱用比例、在地採購、稅收貢獻直接影響部落經濟與年輕人留鄉意願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生態 / 土地衝擊</w:t>
      </w:r>
      <w:r>
        <w:rPr>
          <w:rFonts w:ascii="Calibri" w:hAnsi="Calibri" w:eastAsia="微軟正黑體"/>
          <w:b w:val="0"/>
          <w:sz w:val="22"/>
        </w:rPr>
        <w:t>：部落視自然為祖靈領域，旅館營運的環境足跡涉及文化敏感性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1.2 風險（Risk）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子類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時間框架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財務影響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社會許可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對部落不尊重 → 社會抗議 / 媒體曝光 / 「明池營運社會許可」喪失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中期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營運中斷 / 商譽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文化扁平化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把原民文化包裝為觀光「秀」而非平等共榮 → 反向受抨擊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中期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品牌定位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在地關係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僅商業交易、無深度連結 → 在地年輕人流失 → 缺工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長期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人力短缺、營運成本</w:t>
            </w:r>
          </w:p>
        </w:tc>
      </w:tr>
    </w:tbl>
    <w:p>
      <w:pPr>
        <w:spacing w:after="40"/>
      </w:pP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1.3 機會（Opportunity）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差異化體驗</w:t>
      </w:r>
      <w:r>
        <w:rPr>
          <w:rFonts w:ascii="Calibri" w:hAnsi="Calibri" w:eastAsia="微軟正黑體"/>
          <w:b w:val="0"/>
          <w:sz w:val="22"/>
        </w:rPr>
        <w:t>：與部落合作的原民文化深度旅遊（語言、織布、狩獵故事、生態知識）— 與一般山區度假村區隔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在地創生品牌</w:t>
      </w:r>
      <w:r>
        <w:rPr>
          <w:rFonts w:ascii="Calibri" w:hAnsi="Calibri" w:eastAsia="微軟正黑體"/>
          <w:b w:val="0"/>
          <w:sz w:val="22"/>
        </w:rPr>
        <w:t>：明池作為地方創生案例 → 政府補助、媒體曝光、政策影響力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永續觀光標的</w:t>
      </w:r>
      <w:r>
        <w:rPr>
          <w:rFonts w:ascii="Calibri" w:hAnsi="Calibri" w:eastAsia="微軟正黑體"/>
          <w:b w:val="0"/>
          <w:sz w:val="22"/>
        </w:rPr>
        <w:t>：對接國際永續觀光認證（GSTC、Travelife）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2. 治理（Governance）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主責</w:t>
      </w:r>
      <w:r>
        <w:rPr>
          <w:rFonts w:ascii="Calibri" w:hAnsi="Calibri" w:eastAsia="微軟正黑體"/>
          <w:b w:val="0"/>
          <w:sz w:val="22"/>
        </w:rPr>
        <w:t>：永續發展辦公室「在地共融」專案小組 + 明池 / 棲蘭店長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監督</w:t>
      </w:r>
      <w:r>
        <w:rPr>
          <w:rFonts w:ascii="Calibri" w:hAnsi="Calibri" w:eastAsia="微軟正黑體"/>
          <w:b w:val="0"/>
          <w:sz w:val="22"/>
        </w:rPr>
        <w:t>：永續委員會每年至少 1 次「在地共融年度議合會議」（與部落代表、地方政府、NGO）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執行頻率</w:t>
      </w:r>
      <w:r>
        <w:rPr>
          <w:rFonts w:ascii="Calibri" w:hAnsi="Calibri" w:eastAsia="微軟正黑體"/>
          <w:b w:val="0"/>
          <w:sz w:val="22"/>
        </w:rPr>
        <w:t>：與部落合作之承諾每季 review；爭議事件 24 小時內升級至集團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董事會 KPI 連動</w:t>
      </w:r>
      <w:r>
        <w:rPr>
          <w:rFonts w:ascii="Calibri" w:hAnsi="Calibri" w:eastAsia="微軟正黑體"/>
          <w:b w:val="0"/>
          <w:sz w:val="22"/>
        </w:rPr>
        <w:t>：在地共融項目納入 ESG 加分項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3. 策略（Strategy）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從「友善鄰居」升級為「共榮夥伴」的三層策略：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諮詢層（Consent）</w:t>
      </w:r>
      <w:r>
        <w:rPr>
          <w:rFonts w:ascii="Calibri" w:hAnsi="Calibri" w:eastAsia="微軟正黑體"/>
          <w:b w:val="0"/>
          <w:sz w:val="22"/>
        </w:rPr>
        <w:t>：所有涉及原民文化內容的營運決策（活動、餐點、行銷文宣）事前與部落代表諮詢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共創層（Co-create）</w:t>
      </w:r>
      <w:r>
        <w:rPr>
          <w:rFonts w:ascii="Calibri" w:hAnsi="Calibri" w:eastAsia="微軟正黑體"/>
          <w:b w:val="0"/>
          <w:sz w:val="22"/>
        </w:rPr>
        <w:t>：與部落共同設計文化體驗（</w:t>
      </w:r>
      <w:r>
        <w:rPr>
          <w:rFonts w:ascii="Calibri" w:hAnsi="Calibri" w:eastAsia="微軟正黑體"/>
          <w:b/>
          <w:sz w:val="22"/>
        </w:rPr>
        <w:t>部落 own 內容、力麗 own 通路</w:t>
      </w:r>
      <w:r>
        <w:rPr>
          <w:rFonts w:ascii="Calibri" w:hAnsi="Calibri" w:eastAsia="微軟正黑體"/>
          <w:b w:val="0"/>
          <w:sz w:val="22"/>
        </w:rPr>
        <w:t>），收益分配對等</w:t>
      </w:r>
    </w:p>
    <w:p>
      <w:pPr>
        <w:pStyle w:val="ListNumber"/>
      </w:pPr>
      <w:r>
        <w:rPr>
          <w:rFonts w:ascii="Calibri" w:hAnsi="Calibri" w:eastAsia="微軟正黑體"/>
          <w:b/>
          <w:sz w:val="22"/>
        </w:rPr>
        <w:t>培力層（Capacity building）</w:t>
      </w:r>
      <w:r>
        <w:rPr>
          <w:rFonts w:ascii="Calibri" w:hAnsi="Calibri" w:eastAsia="微軟正黑體"/>
          <w:b w:val="0"/>
          <w:sz w:val="22"/>
        </w:rPr>
        <w:t>：在地僱用優先、青年培訓計畫、與部落學校 / 教會合作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 xml:space="preserve">⚠️ </w:t>
      </w:r>
      <w:r>
        <w:rPr>
          <w:rFonts w:ascii="Calibri" w:hAnsi="Calibri" w:eastAsia="微軟正黑體"/>
          <w:b/>
          <w:sz w:val="22"/>
        </w:rPr>
        <w:t>明確不做</w:t>
      </w:r>
      <w:r>
        <w:rPr>
          <w:rFonts w:ascii="Calibri" w:hAnsi="Calibri" w:eastAsia="微軟正黑體"/>
          <w:b w:val="0"/>
          <w:sz w:val="22"/>
        </w:rPr>
        <w:t>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把部落圖騰當「裝飾」用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不諮詢就採用部落語言 / 儀式作為行銷素材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將部落呈現為「觀光景點背景」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4. 行動方案（Actions）2025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行動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投入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完成時間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在地共融年度議合會議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[X] 萬 + 部落代表車馬費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永續辦公室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Q1 + Q4 2025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部落文化體驗 co-create pilot（明池）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[Y] 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明池店長 + 部落工坊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Q2-Q3 2025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在地僱用招募活動（青年返鄉）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[Z] 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HR + 明池店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Q2 2025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在地食材 / 工藝品採購制度化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制度建置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採購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Q3 2025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GSTC 永續觀光認證（明池試點）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[W] 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永續辦公室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Q4 2025</w:t>
            </w:r>
          </w:p>
        </w:tc>
      </w:tr>
    </w:tbl>
    <w:p>
      <w:pPr>
        <w:spacing w:after="40"/>
      </w:pP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5. 目標（Targets）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對應 `entities/targets/`（待 R7 補在地類 target entity）：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目標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基線（2023）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時程</w:t>
            </w:r>
          </w:p>
        </w:tc>
        <w:tc>
          <w:tcPr>
            <w:tcW w:type="dxa" w:w="2268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驗證路徑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在地僱用比（明池 + 棲蘭）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2027 ≥ 50%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HR 系統追蹤 + 部落確認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在地採購金額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[Y] 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2027 ≥ NTD Y×2 萬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採購系統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部落 co-create 體驗數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2025 ≥ 2 / 2026 ≥ 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部落 + 永續辦公室共同確認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GSTC 認證據點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2026 至少 1 處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第三方認證機構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議合事件數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持續 ≥ 2/year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內部紀錄 + 部落代表反饋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 xml:space="preserve">⚠️ </w:t>
      </w:r>
      <w:r>
        <w:rPr>
          <w:rFonts w:ascii="Calibri" w:hAnsi="Calibri" w:eastAsia="微軟正黑體"/>
          <w:b/>
          <w:sz w:val="22"/>
        </w:rPr>
        <w:t>三要素檢查</w:t>
      </w:r>
      <w:r>
        <w:rPr>
          <w:rFonts w:ascii="Calibri" w:hAnsi="Calibri" w:eastAsia="微軟正黑體"/>
          <w:b w:val="0"/>
          <w:sz w:val="22"/>
        </w:rPr>
        <w:t>：基線 ✅ / 時程 ✅ / 驗證路徑 ✅</w:t>
      </w: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6. KPI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KPI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2023 baseline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2024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2025 placeholder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單位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在地僱用比例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[X]%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≥ X+5%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%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在地採購金額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[Y]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≥ Y×1.2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萬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部落代表議合次數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[N]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[N]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≥ 2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文化體驗活動參與人次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[Z]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[Z]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≥ Z×1.5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人次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在地共融專案投入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[W]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[W]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≥ W×1.3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20"/>
              </w:rPr>
              <w:t>NTD 萬</w:t>
            </w:r>
          </w:p>
        </w:tc>
      </w:tr>
    </w:tbl>
    <w:p>
      <w:pPr>
        <w:spacing w:after="40"/>
      </w:pPr>
    </w:p>
    <w:p>
      <w:pPr>
        <w:pBdr>
          <w:bottom w:val="single" w:sz="6" w:color="888888"/>
        </w:pBdr>
        <w:spacing w:after="80"/>
      </w:pPr>
    </w:p>
    <w:p>
      <w:pPr>
        <w:pStyle w:val="Heading3"/>
        <w:spacing w:before="240" w:after="120"/>
      </w:pPr>
      <w:r>
        <w:rPr>
          <w:rFonts w:ascii="Calibri" w:hAnsi="Calibri" w:eastAsia="微軟正黑體"/>
          <w:b/>
          <w:color w:val="1F5F4A"/>
          <w:sz w:val="28"/>
        </w:rPr>
        <w:t>7. 展望與誠實揭露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2023-2024 揭露不足項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依力麗 2023 報告書（_legacy/phase3-materiality.md S12 段、_legacy/phase7-gap-analysis §2.2），原版</w:t>
      </w:r>
      <w:r>
        <w:rPr>
          <w:rFonts w:ascii="Calibri" w:hAnsi="Calibri" w:eastAsia="微軟正黑體"/>
          <w:b/>
          <w:sz w:val="22"/>
        </w:rPr>
        <w:t>未將原民共融列為重大議題</w:t>
      </w:r>
      <w:r>
        <w:rPr>
          <w:rFonts w:ascii="Calibri" w:hAnsi="Calibri" w:eastAsia="微軟正黑體"/>
          <w:b w:val="0"/>
          <w:sz w:val="22"/>
        </w:rPr>
        <w:t>、</w:t>
      </w:r>
      <w:r>
        <w:rPr>
          <w:rFonts w:ascii="Calibri" w:hAnsi="Calibri" w:eastAsia="微軟正黑體"/>
          <w:b/>
          <w:sz w:val="22"/>
        </w:rPr>
        <w:t>未深度揭露明池對泰雅族部落的關係</w:t>
      </w:r>
      <w:r>
        <w:rPr>
          <w:rFonts w:ascii="Calibri" w:hAnsi="Calibri" w:eastAsia="微軟正黑體"/>
          <w:b w:val="0"/>
          <w:sz w:val="22"/>
        </w:rPr>
        <w:t>。試做 2025 主動納入，並承認：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在地僱用比例與部落採購基線數據仍待補完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過去文化體驗以「示範表演」為主，</w:t>
      </w:r>
      <w:r>
        <w:rPr>
          <w:rFonts w:ascii="Calibri" w:hAnsi="Calibri" w:eastAsia="微軟正黑體"/>
          <w:b/>
          <w:sz w:val="22"/>
        </w:rPr>
        <w:t>尚未實現 co-create 模式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缺乏制度化的部落諮詢機制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改善路徑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2025</w:t>
      </w:r>
      <w:r>
        <w:rPr>
          <w:rFonts w:ascii="Calibri" w:hAnsi="Calibri" w:eastAsia="微軟正黑體"/>
          <w:b w:val="0"/>
          <w:sz w:val="22"/>
        </w:rPr>
        <w:t>：制度化議合會議 + 啟動 co-create pilot + 在地僱用招募活動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2026</w:t>
      </w:r>
      <w:r>
        <w:rPr>
          <w:rFonts w:ascii="Calibri" w:hAnsi="Calibri" w:eastAsia="微軟正黑體"/>
          <w:b w:val="0"/>
          <w:sz w:val="22"/>
        </w:rPr>
        <w:t>：完成 GSTC 試點認證 + 部落 co-create 內容擴展</w:t>
      </w:r>
    </w:p>
    <w:p>
      <w:pPr>
        <w:pStyle w:val="ListBullet"/>
      </w:pPr>
      <w:r>
        <w:rPr>
          <w:rFonts w:ascii="Calibri" w:hAnsi="Calibri" w:eastAsia="微軟正黑體"/>
          <w:b/>
          <w:sz w:val="22"/>
        </w:rPr>
        <w:t>2027-</w:t>
      </w:r>
      <w:r>
        <w:rPr>
          <w:rFonts w:ascii="Calibri" w:hAnsi="Calibri" w:eastAsia="微軟正黑體"/>
          <w:b w:val="0"/>
          <w:sz w:val="22"/>
        </w:rPr>
        <w:t>：明池作為「企業 + 部落共榮」標桿案例 → 對接政府地方創生政策、申請國際永續觀光認證</w:t>
      </w:r>
    </w:p>
    <w:p>
      <w:pPr>
        <w:pStyle w:val="Heading4"/>
        <w:spacing w:before="240" w:after="120"/>
      </w:pPr>
      <w:r>
        <w:rPr>
          <w:rFonts w:ascii="Calibri" w:hAnsi="Calibri" w:eastAsia="微軟正黑體"/>
          <w:b/>
          <w:color w:val="1F5F4A"/>
          <w:sz w:val="24"/>
        </w:rPr>
        <w:t>與三原則對齊</w:t>
      </w:r>
    </w:p>
    <w:p>
      <w:pPr>
        <w:spacing w:after="80"/>
      </w:pPr>
      <w:r>
        <w:rPr>
          <w:rFonts w:ascii="Calibri" w:hAnsi="Calibri" w:eastAsia="微軟正黑體"/>
          <w:b w:val="0"/>
          <w:sz w:val="22"/>
        </w:rPr>
        <w:t>本章呼應 CLAUDE.md §0「susr 是顧問為顧問而設」設計哲學 — 旅館業常忽略的「</w:t>
      </w:r>
      <w:r>
        <w:rPr>
          <w:rFonts w:ascii="Calibri" w:hAnsi="Calibri" w:eastAsia="微軟正黑體"/>
          <w:b/>
          <w:sz w:val="22"/>
        </w:rPr>
        <w:t>文化敏感性</w:t>
      </w:r>
      <w:r>
        <w:rPr>
          <w:rFonts w:ascii="Calibri" w:hAnsi="Calibri" w:eastAsia="微軟正黑體"/>
          <w:b w:val="0"/>
          <w:sz w:val="22"/>
        </w:rPr>
        <w:t xml:space="preserve">」議題正是顧問判斷的核心戰場，brain 提供 entity 結構讓顧問追蹤承諾，但 </w:t>
      </w:r>
      <w:r>
        <w:rPr>
          <w:rFonts w:ascii="Calibri" w:hAnsi="Calibri" w:eastAsia="微軟正黑體"/>
          <w:b/>
          <w:sz w:val="22"/>
        </w:rPr>
        <w:t>co-create 的真實對等關係只有顧問與部落共同建構</w:t>
      </w:r>
      <w:r>
        <w:rPr>
          <w:rFonts w:ascii="Calibri" w:hAnsi="Calibri" w:eastAsia="微軟正黑體"/>
          <w:b w:val="0"/>
          <w:sz w:val="22"/>
        </w:rPr>
        <w:t>。</w:t>
      </w:r>
    </w:p>
    <w:p>
      <w:pPr>
        <w:pBdr>
          <w:bottom w:val="single" w:sz="6" w:color="888888"/>
        </w:pBdr>
        <w:spacing w:after="80"/>
      </w:pPr>
    </w:p>
    <w:p>
      <w:pPr>
        <w:spacing w:after="80"/>
      </w:pPr>
      <w:r>
        <w:rPr>
          <w:rFonts w:ascii="Calibri" w:hAnsi="Calibri" w:eastAsia="微軟正黑體"/>
          <w:b/>
          <w:sz w:val="22"/>
        </w:rPr>
        <w:t>對應 IRO</w:t>
      </w:r>
      <w:r>
        <w:rPr>
          <w:rFonts w:ascii="Calibri" w:hAnsi="Calibri" w:eastAsia="微軟正黑體"/>
          <w:b w:val="0"/>
          <w:sz w:val="22"/>
        </w:rPr>
        <w:t>：`entities/iros/S12-indigenous-culture-impact-preservation.md`、`entities/iros/S10-local-employment-impact-economy.md`</w:t>
      </w:r>
    </w:p>
    <w:p>
      <w:pPr>
        <w:spacing w:after="80"/>
      </w:pPr>
      <w:r>
        <w:rPr>
          <w:rFonts w:ascii="Calibri" w:hAnsi="Calibri" w:eastAsia="微軟正黑體"/>
          <w:b/>
          <w:sz w:val="22"/>
        </w:rPr>
        <w:t>對應 Topic</w:t>
      </w:r>
      <w:r>
        <w:rPr>
          <w:rFonts w:ascii="Calibri" w:hAnsi="Calibri" w:eastAsia="微軟正黑體"/>
          <w:b w:val="0"/>
          <w:sz w:val="22"/>
        </w:rPr>
        <w:t>：`entities/topics/S12-indigenous-culture.md`、`entities/topics/S10-local-employment.md`</w:t>
      </w:r>
    </w:p>
    <w:p>
      <w:pPr>
        <w:spacing w:after="80"/>
      </w:pPr>
      <w:r>
        <w:rPr>
          <w:rFonts w:ascii="Calibri" w:hAnsi="Calibri" w:eastAsia="微軟正黑體"/>
          <w:b/>
          <w:sz w:val="22"/>
        </w:rPr>
        <w:t>章節骨架</w:t>
      </w:r>
      <w:r>
        <w:rPr>
          <w:rFonts w:ascii="Calibri" w:hAnsi="Calibri" w:eastAsia="微軟正黑體"/>
          <w:b w:val="0"/>
          <w:sz w:val="22"/>
        </w:rPr>
        <w:t>：`projects/2025-sustainability-report/chapters/_skeleton.md` §6.1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微軟正黑體"/>
          <w:b/>
          <w:color w:val="1F5F4A"/>
          <w:sz w:val="44"/>
        </w:rPr>
        <w:t>附錄 A　IRO 風險與機會清單</w:t>
      </w:r>
    </w:p>
    <w:p>
      <w:pPr>
        <w:spacing w:after="80"/>
      </w:pPr>
      <w:r>
        <w:rPr>
          <w:rFonts w:ascii="Calibri" w:hAnsi="Calibri" w:eastAsia="微軟正黑體"/>
          <w:b w:val="0"/>
          <w:i w:val="0"/>
          <w:sz w:val="20"/>
        </w:rPr>
        <w:t>本附錄列出本報告期間經 brain 整理之 14 項 IRO（Impact / Risk / Opportunity）。所有 IRO 與重大性議題建立 typed edge，並對應至具體因應行動（見各章節）。</w:t>
      </w:r>
    </w:p>
    <w:p>
      <w:pPr>
        <w:pStyle w:val="Heading2"/>
        <w:spacing w:before="240" w:after="120"/>
      </w:pPr>
      <w:r>
        <w:rPr>
          <w:rFonts w:ascii="Calibri" w:hAnsi="Calibri" w:eastAsia="微軟正黑體"/>
          <w:b/>
          <w:color w:val="1F5F4A"/>
          <w:sz w:val="36"/>
        </w:rPr>
        <w:t>A.1 影響（Impact） — 4 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IRO 名稱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財務量級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S1-labor-conditions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勞動條件對員工福祉的衝擊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operational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中期（1-5y）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3.5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S10-local-employment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在地經濟與在地共榮品牌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operational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長期（5-10y）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3.0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S12-indigenous-culture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明池泰雅族文化保存與差異化體驗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reputational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長期（5-10y）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2.5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S4-occupational-health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房務與餐飲職災衝擊員工身心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operational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短期（&lt;1y）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3.5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 w:eastAsia="微軟正黑體"/>
          <w:b/>
          <w:color w:val="1F5F4A"/>
          <w:sz w:val="36"/>
        </w:rPr>
        <w:t>A.2 風險（Risk） — 7 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IRO 名稱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財務量級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E1-climate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極端氣候與物理風險打擊據點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physical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中期（1-5y）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4.0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E1-climate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碳費與轉型成本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transition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短期（&lt;1y）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4.0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E3-water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流域用水限制與費率上揚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physical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中期（1-5y）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3.5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G2-integrity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採購弊端與商業道德事件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legal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中期（1-5y）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4.0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G3-compliance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法令遵循 gap 與罰款 / 停業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legal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短期（&lt;1y）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4.0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S6-food-safety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食安事件罰款與商譽損失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operational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短期（&lt;1y）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4.5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S7-customer-privacy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客戶個資外洩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reputational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中期（1-5y）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4.0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 w:eastAsia="微軟正黑體"/>
          <w:b/>
          <w:color w:val="1F5F4A"/>
          <w:sz w:val="36"/>
        </w:rPr>
        <w:t>A.3 機會（Opportunity） — 3 項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議題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IRO 名稱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時間軸</w:t>
            </w:r>
          </w:p>
        </w:tc>
        <w:tc>
          <w:tcPr>
            <w:tcW w:type="dxa" w:w="1814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財務量級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E1-climate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永續旅遊溢價與品牌差異化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market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中期（1-5y）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3.5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E2-energy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節能 ROI 與綠電憑證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technology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中期（1-5y）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4.0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S8-customer-experience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永續品牌差異化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market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中期（1-5y）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4.0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微軟正黑體"/>
          <w:b/>
          <w:color w:val="1F5F4A"/>
          <w:sz w:val="44"/>
        </w:rPr>
        <w:t>附錄 B　KPI 績效摘要</w:t>
      </w:r>
    </w:p>
    <w:p>
      <w:pPr>
        <w:spacing w:after="80"/>
      </w:pPr>
      <w:r>
        <w:rPr>
          <w:rFonts w:ascii="Calibri" w:hAnsi="Calibri" w:eastAsia="微軟正黑體"/>
          <w:b w:val="0"/>
          <w:i w:val="0"/>
          <w:sz w:val="20"/>
        </w:rPr>
        <w:t>本附錄列出 9 項本年度追蹤的 KPI，依議題與框架對應。實際數值欄位若為「—」表示本 fixture demo 中該 KPI 尚未填入年度實績（顧問實作時應補 Phase 4 數據包）。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KPI 名稱</w:t>
            </w:r>
          </w:p>
        </w:tc>
        <w:tc>
          <w:tcPr>
            <w:tcW w:type="dxa" w:w="1512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單位</w:t>
            </w:r>
          </w:p>
        </w:tc>
        <w:tc>
          <w:tcPr>
            <w:tcW w:type="dxa" w:w="1512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對應議題</w:t>
            </w:r>
          </w:p>
        </w:tc>
        <w:tc>
          <w:tcPr>
            <w:tcW w:type="dxa" w:w="1512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最新值</w:t>
            </w:r>
          </w:p>
        </w:tc>
        <w:tc>
          <w:tcPr>
            <w:tcW w:type="dxa" w:w="1512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512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YoY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員工流動率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percent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S1-labor-conditions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食安事件數（含嚴重度分級）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count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S6-food-safety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GHG Scope 1（範疇一）絕對排放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tCO2e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E1-climate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GHG Scope 2（範疇二）外購電力排放（雙軌）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tCO2e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E2-energy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GHG Scope 3（範疇三）價值鏈排放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tCO2e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E1-climate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在地原住民議合覆蓋率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percent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S12-indigenous-culture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失能傷害頻率 FR / 嚴重率 SR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per 1e6 work-hours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S4-occupational-health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顧客隱私事件數（資料外洩）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count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S7-customer-privacy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用水強度（m³ / 住房數）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m³ / room-night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E3-water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—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 w:eastAsia="微軟正黑體"/>
          <w:b/>
          <w:color w:val="1F5F4A"/>
          <w:sz w:val="36"/>
        </w:rPr>
        <w:t>B.1 KPI 框架對應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KPI</w:t>
            </w:r>
          </w:p>
        </w:tc>
        <w:tc>
          <w:tcPr>
            <w:tcW w:type="dxa" w:w="4536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框架對應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員工流動率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GRI 401-1 / SASB SV-HL-310a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食安事件數（含嚴重度分級）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GRI 416-1 / GRI 416-2 / SASB SV-HL（食品供應鏈）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GHG Scope 1（範疇一）絕對排放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GRI 305-1 / GHG Protocol Corporate Standard / IPCC AR6 GWP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GHG Scope 2（範疇二）外購電力排放（雙軌）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GRI 305-2 / GHG Protocol Scope 2 Guidance / SASB SV-HL-130a.1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GHG Scope 3（範疇三）價值鏈排放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GRI 305-3 / GHG Protocol Scope 3 Standard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在地原住民議合覆蓋率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GRI 411-1 / GRI 413-1 / GRI 413-2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失能傷害頻率 FR / 嚴重率 SR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GRI 403-2 / GRI 403-3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顧客隱私事件數（資料外洩）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GRI 418-1 / SASB SV-HL-230a.1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用水強度（m³ / 住房數）</w:t>
            </w:r>
          </w:p>
        </w:tc>
        <w:tc>
          <w:tcPr>
            <w:tcW w:type="dxa" w:w="4536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GRI 303-1 / GRI 303-2 / SASB SV-HL-140a.1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微軟正黑體"/>
          <w:b/>
          <w:color w:val="1F5F4A"/>
          <w:sz w:val="44"/>
        </w:rPr>
        <w:t>附錄 C　目標進度追蹤</w:t>
      </w:r>
    </w:p>
    <w:p>
      <w:pPr>
        <w:spacing w:after="80"/>
      </w:pPr>
      <w:r>
        <w:rPr>
          <w:rFonts w:ascii="Calibri" w:hAnsi="Calibri" w:eastAsia="微軟正黑體"/>
          <w:b w:val="0"/>
          <w:i w:val="0"/>
          <w:sz w:val="20"/>
        </w:rPr>
        <w:t>本附錄列出 6 項本年度設定的永續目標。所有目標依「基準年 → 目標年 → 量化值」三要件揭露，並指明驗證路徑。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1512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對應 KPI</w:t>
            </w:r>
          </w:p>
        </w:tc>
        <w:tc>
          <w:tcPr>
            <w:tcW w:type="dxa" w:w="1512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基準年</w:t>
            </w:r>
          </w:p>
        </w:tc>
        <w:tc>
          <w:tcPr>
            <w:tcW w:type="dxa" w:w="1512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基準值</w:t>
            </w:r>
          </w:p>
        </w:tc>
        <w:tc>
          <w:tcPr>
            <w:tcW w:type="dxa" w:w="1512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目標年</w:t>
            </w:r>
          </w:p>
        </w:tc>
        <w:tc>
          <w:tcPr>
            <w:tcW w:type="dxa" w:w="1512"/>
            <w:vAlign w:val="center"/>
            <w:shd w:fill="1F5F4A" w:val="clear"/>
          </w:tcPr>
          <w:p>
            <w:pPr>
              <w:spacing w:after="0"/>
            </w:pPr>
            <w:r>
              <w:rPr>
                <w:rFonts w:ascii="Calibri" w:hAnsi="Calibri" w:eastAsia="微軟正黑體"/>
                <w:b/>
                <w:color w:val="FFFFFF"/>
                <w:sz w:val="18"/>
              </w:rPr>
              <w:t>目標值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customer-privacy-data-breach-zero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privacy-incidents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2023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0.0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2030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0.0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food-safety-zero-incidents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food-safety-incidents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2023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0.0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2030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0.0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green-electricity-2030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ghg-scope2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2023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0.0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2030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30.0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local-indigenous-engagement-coverage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indigenous-engagement-coverage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2023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0.0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2028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100.0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scope12-reduction-2030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ghg-scope2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2023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0.0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2030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25.0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tcfd-net-zero-2050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ghg-scope1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2023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0.0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2050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rFonts w:ascii="Calibri" w:hAnsi="Calibri" w:eastAsia="微軟正黑體"/>
                <w:b w:val="0"/>
                <w:sz w:val="18"/>
              </w:rPr>
              <w:t>0.0</w:t>
            </w:r>
          </w:p>
        </w:tc>
      </w:tr>
    </w:tbl>
    <w:p>
      <w:pPr>
        <w:pStyle w:val="Heading2"/>
        <w:spacing w:before="240" w:after="120"/>
      </w:pPr>
      <w:r>
        <w:rPr>
          <w:rFonts w:ascii="Calibri" w:hAnsi="Calibri" w:eastAsia="微軟正黑體"/>
          <w:b/>
          <w:color w:val="1F5F4A"/>
          <w:sz w:val="36"/>
        </w:rPr>
        <w:t>C.1 驗證路徑</w:t>
      </w:r>
    </w:p>
    <w:p>
      <w:pPr>
        <w:pStyle w:val="ListBullet"/>
      </w:pPr>
      <w:r>
        <w:rPr>
          <w:rFonts w:ascii="Calibri" w:hAnsi="Calibri" w:eastAsia="微軟正黑體"/>
          <w:b/>
          <w:color w:val="1F5F4A"/>
          <w:sz w:val="20"/>
        </w:rPr>
        <w:t>customer-privacy-data-breach-zero：</w:t>
      </w:r>
      <w:r>
        <w:rPr>
          <w:rFonts w:ascii="Calibri" w:hAnsi="Calibri" w:eastAsia="微軟正黑體"/>
          <w:b w:val="0"/>
          <w:sz w:val="20"/>
        </w:rPr>
        <w:t>ISO 27001 認證稽核 + 個資法主管機關通報紀錄</w:t>
      </w:r>
    </w:p>
    <w:p>
      <w:pPr>
        <w:pStyle w:val="ListBullet"/>
      </w:pPr>
      <w:r>
        <w:rPr>
          <w:rFonts w:ascii="Calibri" w:hAnsi="Calibri" w:eastAsia="微軟正黑體"/>
          <w:b/>
          <w:color w:val="1F5F4A"/>
          <w:sz w:val="20"/>
        </w:rPr>
        <w:t>food-safety-zero-incidents：</w:t>
      </w:r>
      <w:r>
        <w:rPr>
          <w:rFonts w:ascii="Calibri" w:hAnsi="Calibri" w:eastAsia="微軟正黑體"/>
          <w:b w:val="0"/>
          <w:sz w:val="20"/>
        </w:rPr>
        <w:t>HACCP 第三方稽核 + 食安委員會年度檢視</w:t>
      </w:r>
    </w:p>
    <w:p>
      <w:pPr>
        <w:pStyle w:val="ListBullet"/>
      </w:pPr>
      <w:r>
        <w:rPr>
          <w:rFonts w:ascii="Calibri" w:hAnsi="Calibri" w:eastAsia="微軟正黑體"/>
          <w:b/>
          <w:color w:val="1F5F4A"/>
          <w:sz w:val="20"/>
        </w:rPr>
        <w:t>green-electricity-2030：</w:t>
      </w:r>
      <w:r>
        <w:rPr>
          <w:rFonts w:ascii="Calibri" w:hAnsi="Calibri" w:eastAsia="微軟正黑體"/>
          <w:b w:val="0"/>
          <w:sz w:val="20"/>
        </w:rPr>
        <w:t>T-REC 憑證 + 自發自用</w:t>
      </w:r>
    </w:p>
    <w:p>
      <w:pPr>
        <w:pStyle w:val="ListBullet"/>
      </w:pPr>
      <w:r>
        <w:rPr>
          <w:rFonts w:ascii="Calibri" w:hAnsi="Calibri" w:eastAsia="微軟正黑體"/>
          <w:b/>
          <w:color w:val="1F5F4A"/>
          <w:sz w:val="20"/>
        </w:rPr>
        <w:t>local-indigenous-engagement-coverage：</w:t>
      </w:r>
      <w:r>
        <w:rPr>
          <w:rFonts w:ascii="Calibri" w:hAnsi="Calibri" w:eastAsia="微軟正黑體"/>
          <w:b w:val="0"/>
          <w:sz w:val="20"/>
        </w:rPr>
        <w:t>GRI 411-1 / 413-1 揭露追蹤 + 部落會議出席紀錄第三方查證</w:t>
      </w:r>
    </w:p>
    <w:p>
      <w:pPr>
        <w:pStyle w:val="ListBullet"/>
      </w:pPr>
      <w:r>
        <w:rPr>
          <w:rFonts w:ascii="Calibri" w:hAnsi="Calibri" w:eastAsia="微軟正黑體"/>
          <w:b/>
          <w:color w:val="1F5F4A"/>
          <w:sz w:val="20"/>
        </w:rPr>
        <w:t>scope12-reduction-2030：</w:t>
      </w:r>
      <w:r>
        <w:rPr>
          <w:rFonts w:ascii="Calibri" w:hAnsi="Calibri" w:eastAsia="微軟正黑體"/>
          <w:b w:val="0"/>
          <w:sz w:val="20"/>
        </w:rPr>
        <w:t>第三方有限確信</w:t>
      </w:r>
    </w:p>
    <w:p>
      <w:pPr>
        <w:pStyle w:val="ListBullet"/>
      </w:pPr>
      <w:r>
        <w:rPr>
          <w:rFonts w:ascii="Calibri" w:hAnsi="Calibri" w:eastAsia="微軟正黑體"/>
          <w:b/>
          <w:color w:val="1F5F4A"/>
          <w:sz w:val="20"/>
        </w:rPr>
        <w:t>tcfd-net-zero-2050：</w:t>
      </w:r>
      <w:r>
        <w:rPr>
          <w:rFonts w:ascii="Calibri" w:hAnsi="Calibri" w:eastAsia="微軟正黑體"/>
          <w:b w:val="0"/>
          <w:sz w:val="20"/>
        </w:rPr>
        <w:t>TCFD 揭露追蹤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Calibri" w:hAnsi="Calibri" w:eastAsia="微軟正黑體"/>
          <w:b/>
          <w:color w:val="1F5F4A"/>
          <w:sz w:val="44"/>
        </w:rPr>
        <w:t>附錄 D　GRI Content Index</w:t>
      </w:r>
    </w:p>
    <w:p>
      <w:pPr>
        <w:spacing w:after="80"/>
      </w:pPr>
      <w:r>
        <w:rPr>
          <w:rFonts w:ascii="Calibri" w:hAnsi="Calibri" w:eastAsia="微軟正黑體"/>
          <w:b w:val="0"/>
          <w:i/>
          <w:color w:val="555555"/>
          <w:sz w:val="22"/>
        </w:rPr>
        <w:t>本附錄為 GRI Content Index 之佔位章節。susr Phase 7 工具 `generate_gri_content_index` 可由 brain 端對端產出，本 fixture demo 中尚未跑該 tool。</w:t>
      </w:r>
    </w:p>
    <w:p>
      <w:pPr>
        <w:spacing w:after="80"/>
      </w:pPr>
      <w:r>
        <w:rPr>
          <w:rFonts w:ascii="Calibri" w:hAnsi="Calibri" w:eastAsia="微軟正黑體"/>
          <w:b/>
          <w:i w:val="0"/>
          <w:color w:val="1F5F4A"/>
          <w:sz w:val="22"/>
        </w:rPr>
        <w:t>標準 GRI Content Index 結構：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GRI 1: Foundation 2021 — 報告原則聲明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GRI 2: General Disclosures 2021 — 組織描述、報告慣例、治理、利害關係人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GRI 3: Material Topics 2021 — 重大主題清單與管理方針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GRI 305: Emissions 2016 — 範疇 1/2/3 排放（待 Phase 4 數據包）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GRI 303: Water and Effluents 2018 — 取水 / 用水 / 排水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GRI 401-403: Employment / Labor / Health &amp; Safety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GRI 411: Rights of Indigenous Peoples — 在地原住民議題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GRI 413: Local Communities — 在地共融</w:t>
      </w:r>
    </w:p>
    <w:p>
      <w:pPr>
        <w:pStyle w:val="ListBullet"/>
      </w:pPr>
      <w:r>
        <w:rPr>
          <w:rFonts w:ascii="Calibri" w:hAnsi="Calibri" w:eastAsia="微軟正黑體"/>
          <w:b w:val="0"/>
          <w:sz w:val="22"/>
        </w:rPr>
        <w:t>GRI 416-418: Customer Health, Safety, Privacy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微軟正黑體"/>
        <w:b w:val="0"/>
        <w:color w:val="555555"/>
        <w:sz w:val="18"/>
      </w:rPr>
      <w:t xml:space="preserve">第 </w:t>
    </w:r>
    <w:r>
      <w:rPr>
        <w:rFonts w:ascii="Calibri" w:hAnsi="Calibri" w:eastAsia="微軟正黑體"/>
        <w:b w:val="0"/>
        <w:color w:val="555555"/>
        <w:sz w:val="18"/>
      </w:rPr>
      <w:fldChar w:fldCharType="begin"/>
      <w:instrText> PAGE </w:instrText>
      <w:fldChar w:fldCharType="end"/>
    </w:r>
    <w:r>
      <w:rPr>
        <w:rFonts w:ascii="Calibri" w:hAnsi="Calibri" w:eastAsia="微軟正黑體"/>
        <w:b w:val="0"/>
        <w:color w:val="555555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