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268" w:after="200"/>
        <w:jc w:val="center"/>
        <w:rPr>
          <w:b/>
          <w:b/>
          <w:color w:val="1E1B4B"/>
          <w:sz w:val="144"/>
        </w:rPr>
      </w:pPr>
      <w:r>
        <w:rPr>
          <w:b/>
          <w:color w:val="1E1B4B"/>
          <w:sz w:val="144"/>
        </w:rPr>
        <w:t>A</w:t>
      </w:r>
    </w:p>
    <w:p>
      <w:pPr>
        <w:pStyle w:val="Normal"/>
        <w:jc w:val="center"/>
        <w:rPr>
          <w:rFonts w:ascii="Calibri" w:hAnsi="Calibri"/>
          <w:b/>
          <w:b/>
          <w:color w:val="1E1B4B"/>
          <w:sz w:val="28"/>
        </w:rPr>
      </w:pPr>
      <w:r>
        <w:rPr>
          <w:rFonts w:ascii="Calibri" w:hAnsi="Calibri"/>
          <w:b/>
          <w:color w:val="1E1B4B"/>
          <w:sz w:val="28"/>
        </w:rPr>
        <w:t>APOCAL'IPSSI</w:t>
      </w:r>
    </w:p>
    <w:p>
      <w:pPr>
        <w:pStyle w:val="Normal"/>
        <w:spacing w:before="1701" w:after="200"/>
        <w:jc w:val="center"/>
        <w:rPr>
          <w:b/>
          <w:b/>
          <w:color w:val="F59E0B"/>
          <w:sz w:val="20"/>
        </w:rPr>
      </w:pPr>
      <w:r>
        <w:rPr>
          <w:b/>
          <w:color w:val="F59E0B"/>
          <w:sz w:val="20"/>
        </w:rPr>
        <w:t>CADRAGE MATINAL · ARTEFACT 3 SUR 7</w:t>
      </w:r>
    </w:p>
    <w:p>
      <w:pPr>
        <w:pStyle w:val="Normal"/>
        <w:jc w:val="center"/>
        <w:rPr>
          <w:b/>
          <w:b/>
          <w:color w:val="1E1B4B"/>
          <w:sz w:val="64"/>
        </w:rPr>
      </w:pPr>
      <w:r>
        <w:rPr>
          <w:b/>
          <w:color w:val="1E1B4B"/>
          <w:sz w:val="64"/>
        </w:rPr>
        <w:t>Customer Journey Maps</w:t>
      </w:r>
    </w:p>
    <w:p>
      <w:pPr>
        <w:pStyle w:val="Normal"/>
        <w:spacing w:before="170" w:after="200"/>
        <w:jc w:val="center"/>
        <w:rPr>
          <w:i/>
          <w:i/>
          <w:color w:val="475569"/>
          <w:sz w:val="26"/>
        </w:rPr>
      </w:pPr>
      <w:r>
        <w:rPr>
          <w:i/>
          <w:color w:val="475569"/>
          <w:sz w:val="26"/>
        </w:rPr>
        <w:t>Les 3 parcours utilisateurs d'EduTutor IA, étape par étape</w:t>
      </w:r>
    </w:p>
    <w:p>
      <w:pPr>
        <w:pStyle w:val="Normal"/>
        <w:spacing w:before="3969" w:after="200"/>
        <w:jc w:val="center"/>
        <w:rPr>
          <w:b/>
          <w:b/>
          <w:color w:val="475569"/>
          <w:sz w:val="22"/>
        </w:rPr>
      </w:pPr>
      <w:r>
        <w:rPr>
          <w:b/>
          <w:color w:val="475569"/>
          <w:sz w:val="22"/>
        </w:rPr>
        <w:t>Projet EduTutor IA · Édition 2026 · Semaine immersive Scrum</w:t>
      </w:r>
    </w:p>
    <w:p>
      <w:pPr>
        <w:pStyle w:val="Normal"/>
        <w:spacing w:before="113" w:after="200"/>
        <w:jc w:val="center"/>
        <w:rPr>
          <w:i/>
          <w:i/>
          <w:color w:val="475569"/>
          <w:sz w:val="18"/>
        </w:rPr>
      </w:pPr>
      <w:r>
        <w:rPr>
          <w:i/>
          <w:color w:val="475569"/>
          <w:sz w:val="18"/>
        </w:rPr>
        <w:t>Auteur : Mohamed Amine EL AFRIT · Licence CC BY-NC-SA 4.0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283" w:after="200"/>
        <w:rPr>
          <w:b/>
          <w:b/>
          <w:color w:val="F59E0B"/>
          <w:sz w:val="22"/>
        </w:rPr>
      </w:pPr>
      <w:r>
        <w:rPr>
          <w:b/>
          <w:color w:val="F59E0B"/>
          <w:sz w:val="22"/>
        </w:rPr>
        <w:t>IDENTIFICATION DU DOCUMENT</w:t>
      </w:r>
    </w:p>
    <w:p>
      <w:pPr>
        <w:pStyle w:val="Normal"/>
        <w:rPr>
          <w:i/>
          <w:i/>
          <w:color w:val="475569"/>
          <w:sz w:val="20"/>
        </w:rPr>
      </w:pPr>
      <w:r>
        <w:rPr>
          <w:i/>
          <w:color w:val="475569"/>
          <w:sz w:val="20"/>
        </w:rPr>
        <w:t>À compléter par l'équipe avant chaque remise</w:t>
      </w:r>
    </w:p>
    <w:tbl>
      <w:tblPr>
        <w:tblW w:w="8640" w:type="dxa"/>
        <w:jc w:val="left"/>
        <w:tblInd w:w="-1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fill="F8FAFC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/>
                <w:b/>
                <w:b/>
                <w:bCs/>
                <w:color w:val="1E1B4B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color w:val="1E1B4B"/>
                <w:kern w:val="0"/>
                <w:sz w:val="22"/>
                <w:szCs w:val="22"/>
                <w:lang w:val="en-US" w:eastAsia="en-US" w:bidi="ar-SA"/>
              </w:rPr>
              <w:t>Équipe n°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/>
                <w:b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29</w:t>
            </w:r>
          </w:p>
        </w:tc>
      </w:tr>
      <w:tr>
        <w:trPr/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F8FAFC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/>
                <w:b/>
                <w:b/>
                <w:bCs/>
                <w:color w:val="1E1B4B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color w:val="1E1B4B"/>
                <w:kern w:val="0"/>
                <w:sz w:val="22"/>
                <w:szCs w:val="22"/>
                <w:lang w:val="en-US" w:eastAsia="en-US" w:bidi="ar-SA"/>
              </w:rPr>
              <w:t>Membres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ＭＳ 明朝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明朝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0"/>
                <w:szCs w:val="22"/>
                <w:lang w:val="en-US" w:eastAsia="en-US" w:bidi="ar-SA"/>
              </w:rPr>
              <w:t xml:space="preserve">Adam AMRANE, Aurélie DEMURE, Marco Rafaël SALGADO SOARES DE FARIA, Sofiane OUADAH, Maxence PICAULT , Nassim BOUZERARA </w:t>
            </w:r>
          </w:p>
        </w:tc>
      </w:tr>
      <w:tr>
        <w:trPr/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F8FAFC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/>
                <w:b/>
                <w:b/>
                <w:bCs/>
                <w:color w:val="1E1B4B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color w:val="1E1B4B"/>
                <w:kern w:val="0"/>
                <w:sz w:val="22"/>
                <w:szCs w:val="22"/>
                <w:lang w:val="en-US" w:eastAsia="en-US" w:bidi="ar-SA"/>
              </w:rPr>
              <w:t>Sprint concerné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Cadrage</w:t>
            </w:r>
          </w:p>
        </w:tc>
      </w:tr>
      <w:tr>
        <w:trPr/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F8FAFC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/>
                <w:b/>
                <w:b/>
                <w:bCs/>
                <w:color w:val="1E1B4B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color w:val="1E1B4B"/>
                <w:kern w:val="0"/>
                <w:sz w:val="22"/>
                <w:szCs w:val="22"/>
                <w:lang w:val="en-US" w:eastAsia="en-US" w:bidi="ar-SA"/>
              </w:rPr>
              <w:t>Version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 xml:space="preserve">v1.0 (initiale) </w:t>
            </w:r>
          </w:p>
        </w:tc>
      </w:tr>
      <w:tr>
        <w:trPr/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F8FAFC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/>
                <w:b/>
                <w:b/>
                <w:bCs/>
                <w:color w:val="1E1B4B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color w:val="1E1B4B"/>
                <w:kern w:val="0"/>
                <w:sz w:val="22"/>
                <w:szCs w:val="22"/>
                <w:lang w:val="en-US" w:eastAsia="en-US" w:bidi="ar-SA"/>
              </w:rPr>
              <w:t>Date de remise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29/06/2026</w:t>
            </w:r>
          </w:p>
        </w:tc>
      </w:tr>
      <w:tr>
        <w:trPr/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F8FAFC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/>
                <w:b/>
                <w:b/>
                <w:bCs/>
                <w:color w:val="1E1B4B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color w:val="1E1B4B"/>
                <w:kern w:val="0"/>
                <w:sz w:val="22"/>
                <w:szCs w:val="22"/>
                <w:lang w:val="en-US" w:eastAsia="en-US" w:bidi="ar-SA"/>
              </w:rPr>
              <w:t>Statut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[ Draft · En revue PO · Validé PO · Archivé ]</w:t>
            </w:r>
          </w:p>
        </w:tc>
      </w:tr>
    </w:tbl>
    <w:p>
      <w:pPr>
        <w:pStyle w:val="Normal"/>
        <w:spacing w:before="283" w:after="200"/>
        <w:rPr/>
      </w:pPr>
      <w:r>
        <w:rPr>
          <w:b/>
          <w:color w:val="F59E0B"/>
          <w:sz w:val="18"/>
        </w:rPr>
        <w:t xml:space="preserve">💡 </w:t>
      </w:r>
      <w:r>
        <w:rPr>
          <w:b/>
          <w:color w:val="F59E0B"/>
          <w:sz w:val="18"/>
        </w:rPr>
        <w:t xml:space="preserve">Convention de nommage du fichier : </w:t>
      </w:r>
      <w:r>
        <w:rPr>
          <w:i/>
          <w:color w:val="475569"/>
          <w:sz w:val="18"/>
        </w:rPr>
        <w:t>equipe-XX-nom-document-vY.Z.docx  (ex. equipe-03-persona-v1.0.docx)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>
          <w:b/>
          <w:b/>
          <w:color w:val="1E1B4B"/>
          <w:sz w:val="36"/>
        </w:rPr>
      </w:pPr>
      <w:r>
        <w:rPr>
          <w:b/>
          <w:color w:val="1E1B4B"/>
          <w:sz w:val="36"/>
        </w:rPr>
        <w:t>Table des matières</w:t>
      </w:r>
    </w:p>
    <w:p>
      <w:pPr>
        <w:pStyle w:val="Normal"/>
        <w:rPr>
          <w:i/>
          <w:i/>
          <w:color w:val="475569"/>
          <w:sz w:val="18"/>
        </w:rPr>
      </w:pPr>
      <w:r>
        <w:rPr>
          <w:i/>
          <w:color w:val="475569"/>
          <w:sz w:val="18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1"/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_RefHeading___Toc83850_610055533">
            <w:r>
              <w:rPr>
                <w:rStyle w:val="IndexLink"/>
              </w:rPr>
              <w:t>1. Parcours Étudiant, Léa Martin (cible primaire) étudiante en révision avant examen</w:t>
              <w:tab/>
              <w:t>5</w:t>
            </w:r>
          </w:hyperlink>
        </w:p>
        <w:p>
          <w:pPr>
            <w:pStyle w:val="Contents1"/>
            <w:rPr/>
          </w:pPr>
          <w:hyperlink w:anchor="__RefHeading___Toc83852_610055533">
            <w:r>
              <w:rPr>
                <w:rStyle w:val="IndexLink"/>
              </w:rPr>
              <w:t>2. Parcours Étudiant 2, Julien Dupont (cible primaire), étudiant régulier mais désorganisé</w:t>
              <w:tab/>
              <w:t>6</w:t>
            </w:r>
          </w:hyperlink>
        </w:p>
        <w:p>
          <w:pPr>
            <w:pStyle w:val="Contents1"/>
            <w:rPr/>
          </w:pPr>
          <w:hyperlink w:anchor="__RefHeading___Toc83854_610055533">
            <w:r>
              <w:rPr>
                <w:rStyle w:val="IndexLink"/>
              </w:rPr>
              <w:t>3. Persona 3 - Mme Bernard, responsable d'établissement</w:t>
              <w:tab/>
              <w:t>7</w:t>
            </w:r>
          </w:hyperlink>
        </w:p>
        <w:p>
          <w:pPr>
            <w:pStyle w:val="Contents1"/>
            <w:rPr/>
          </w:pPr>
          <w:hyperlink w:anchor="__RefHeading___Toc83856_610055533">
            <w:r>
              <w:rPr>
                <w:rStyle w:val="IndexLink"/>
              </w:rPr>
              <w:t>4. Synthèse émotionnelle des 3 parcours</w:t>
              <w:tab/>
              <w:t>8</w:t>
            </w:r>
          </w:hyperlink>
        </w:p>
        <w:p>
          <w:pPr>
            <w:pStyle w:val="Contents1"/>
            <w:rPr/>
          </w:pPr>
          <w:hyperlink w:anchor="__RefHeading___Toc83858_610055533">
            <w:r>
              <w:rPr>
                <w:rStyle w:val="IndexLink"/>
              </w:rPr>
              <w:t xml:space="preserve">✅ </w:t>
            </w:r>
            <w:r>
              <w:rPr>
                <w:rStyle w:val="IndexLink"/>
              </w:rPr>
              <w:t>Grille d'auto-évaluation</w:t>
              <w:tab/>
              <w:t>9</w:t>
            </w:r>
          </w:hyperlink>
        </w:p>
        <w:p>
          <w:pPr>
            <w:pStyle w:val="Contents1"/>
            <w:rPr/>
          </w:pPr>
          <w:hyperlink w:anchor="__RefHeading___Toc83860_610055533">
            <w:r>
              <w:rPr>
                <w:rStyle w:val="IndexLink"/>
              </w:rPr>
              <w:t xml:space="preserve">📚 </w:t>
            </w:r>
            <w:r>
              <w:rPr>
                <w:rStyle w:val="IndexLink"/>
              </w:rPr>
              <w:t>Références et conventions</w:t>
              <w:tab/>
              <w:t>10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83862_610055533">
            <w:r>
              <w:rPr>
                <w:rStyle w:val="IndexLink"/>
              </w:rPr>
              <w:t>Références incontournables</w:t>
              <w:tab/>
              <w:t>10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83864_610055533">
            <w:r>
              <w:rPr>
                <w:rStyle w:val="IndexLink"/>
              </w:rPr>
              <w:t>Références spécifiques à ce document</w:t>
              <w:tab/>
              <w:t>10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83866_610055533">
            <w:r>
              <w:rPr>
                <w:rStyle w:val="IndexLink"/>
              </w:rPr>
              <w:t>Convention de versionnement</w:t>
              <w:tab/>
              <w:t>10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  <w:r>
        <w:br w:type="page"/>
      </w:r>
    </w:p>
    <w:p>
      <w:pPr>
        <w:pStyle w:val="Heading1"/>
        <w:rPr/>
      </w:pPr>
      <w:bookmarkStart w:id="0" w:name="__RefHeading___Toc83850_610055533"/>
      <w:bookmarkEnd w:id="0"/>
      <w:r>
        <w:rPr>
          <w:color w:val="1E1B4B"/>
        </w:rPr>
        <w:t xml:space="preserve">1. Parcours Étudiant, Léa Martin (cible primaire) </w:t>
      </w:r>
      <w:r>
        <w:rPr>
          <w:color w:val="1E1B4B"/>
        </w:rPr>
        <w:t xml:space="preserve">étudiante en révision avant </w:t>
      </w:r>
      <w:r>
        <w:rPr>
          <w:color w:val="1E1B4B"/>
        </w:rPr>
        <w:t>examen</w:t>
      </w:r>
    </w:p>
    <w:p>
      <w:pPr>
        <w:pStyle w:val="Normal"/>
        <w:spacing w:before="57" w:after="200"/>
        <w:ind w:left="0" w:right="227" w:hanging="0"/>
        <w:rPr>
          <w:i/>
          <w:i/>
          <w:color w:val="475569"/>
          <w:sz w:val="18"/>
        </w:rPr>
      </w:pPr>
      <w:r>
        <w:rPr>
          <w:i/>
          <w:color w:val="475569"/>
          <w:sz w:val="18"/>
        </w:rPr>
      </w:r>
    </w:p>
    <w:tbl>
      <w:tblPr>
        <w:tblW w:w="8640" w:type="dxa"/>
        <w:jc w:val="left"/>
        <w:tblInd w:w="-1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fill="1E1B4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/>
                <w:b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  <w:t>Étape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fill="1E1B4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/>
                <w:b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  <w:t>Actions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fill="1E1B4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/>
                <w:b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  <w:t>Pensées (au « je »)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fill="1E1B4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/>
                <w:b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  <w:t>Émotion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fill="1E1B4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/>
                <w:b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  <w:t>Frictions / Opportunités</w:t>
            </w:r>
          </w:p>
        </w:tc>
      </w:tr>
      <w:tr>
        <w:trPr/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/>
                <w:b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1. Découverte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Léa découvre EduTutor IA par un camarade de promo. Elle comprend qu'elle peut transformer un cours en quiz.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« J'ai un examen bientôt. Si je peux transformer mon cours en quiz rapidement, ça peut m'aider à savoir où j'en suis. »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 xml:space="preserve">😐 </w:t>
            </w: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Curieuse, mais prudente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 xml:space="preserve">🚧 </w:t>
            </w: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Friction : est ce que ça va vraiment me faire gagner du temps ? 💡 Opportunité : preuve sociale (témoignages étudiants) et explication dès l’accueil de la simplicté du site.</w:t>
            </w:r>
          </w:p>
        </w:tc>
      </w:tr>
      <w:tr>
        <w:trPr/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/>
                <w:b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2. Inscription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Crée un compte avec son email universitaire, accepte les conditions d’utilisation et arrive sur son espace personnel.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« Je veux que l'inscription soit rapide, et je veux être rassurée sur ce que deviennent mes cours importés. »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 xml:space="preserve">😐 </w:t>
            </w: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Vigilante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 xml:space="preserve">🚧 </w:t>
            </w: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 xml:space="preserve">Friction : formulaire trop long, règles de mots de passe pas décrites. Opportunité : mention RGPD claire pendant l'inscription, demander uniquement les informations nécessaires, message sur la privatisation de ses cours. </w:t>
            </w:r>
          </w:p>
        </w:tc>
      </w:tr>
      <w:tr>
        <w:trPr/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/>
                <w:b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3. 1ʳᵉ utilisation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Elle importe un PDF, puis lance la génération automatique de 10 QCM.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 xml:space="preserve">« Est-ce que </w:t>
            </w: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ça ne va pas me prendre trop de temps ? L</w:t>
            </w: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'IA va vraiment utiliser mon cours, ou inventer des questions qui n'ont rien à voir ? »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 xml:space="preserve">😐 </w:t>
            </w: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 xml:space="preserve">Anxieuse → 😊 </w:t>
            </w: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Rasurée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 xml:space="preserve">🚧 </w:t>
            </w: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 xml:space="preserve">Friction : </w:t>
            </w: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attente sans retour visuel, PDF trop lourd, erreur silencieuse</w:t>
            </w: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 xml:space="preserve">. 💡 Opportunité : </w:t>
            </w: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affichage des différentes étapes : import, lecture, génération quiz…</w:t>
            </w:r>
          </w:p>
        </w:tc>
      </w:tr>
      <w:tr>
        <w:trPr/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/>
                <w:b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4. Usage régulier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 xml:space="preserve">Elle répond au quizz, en génère d’autres, regarde ses bonnes et mauvaises réponses et repère les notions à revoir. 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« J'ai gagné au moins 2h/semaine. Et je me sens plus prête. »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 xml:space="preserve">😊 </w:t>
            </w: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Confiante, satisfaite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 xml:space="preserve">🚧 </w:t>
            </w: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Friction : pas d'historique consultable hors-ligne. 💡 Opportunité : mode hors-ligne pour le RER.</w:t>
            </w:r>
          </w:p>
        </w:tc>
      </w:tr>
      <w:tr>
        <w:trPr/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/>
                <w:b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5. Recommandation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Elle en parle à son groupe WhatsApp de révision</w:t>
            </w: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.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« Si ça les aide elles aussi, on pourra faire des sessions de révision communes. »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 xml:space="preserve">😊 </w:t>
            </w: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Enthousiaste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 xml:space="preserve">🚧 </w:t>
            </w: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Friction : pas de fonction de partage de quiz entre comptes. 💡 Opportunité : mode équipe / promo.</w:t>
            </w:r>
          </w:p>
        </w:tc>
      </w:tr>
    </w:tbl>
    <w:p>
      <w:pPr>
        <w:pStyle w:val="Normal"/>
        <w:rPr/>
      </w:pPr>
      <w:r>
        <w:rPr>
          <w:b/>
        </w:rPr>
        <w:t xml:space="preserve">Moment de décrochage potentiel identifié : </w:t>
      </w:r>
      <w:r>
        <w:rPr>
          <w:i/>
        </w:rPr>
        <w:t>Étape 3 (1ʳᵉ utilisation) si l</w:t>
      </w:r>
      <w:r>
        <w:rPr>
          <w:i/>
        </w:rPr>
        <w:t>e PDF ne s’importe pas, si la génération prend trop longtemps ou si les questions semblent déconnectées du cours.</w:t>
      </w:r>
      <w:r>
        <w:rPr>
          <w:i/>
        </w:rPr>
        <w:t xml:space="preserve"> </w:t>
      </w:r>
      <w:r>
        <w:rPr>
          <w:i/>
        </w:rPr>
        <w:t>P</w:t>
      </w:r>
      <w:r>
        <w:rPr>
          <w:i/>
        </w:rPr>
        <w:t xml:space="preserve">rioritaire produit : indicateur de progression visible, message rassurant, </w:t>
      </w:r>
      <w:r>
        <w:rPr>
          <w:i/>
        </w:rPr>
        <w:t xml:space="preserve">indication que les QCM sont bien générés par les documents fournis. </w:t>
      </w:r>
    </w:p>
    <w:p>
      <w:pPr>
        <w:pStyle w:val="Heading1"/>
        <w:rPr/>
      </w:pPr>
      <w:bookmarkStart w:id="1" w:name="__RefHeading___Toc83852_610055533"/>
      <w:bookmarkEnd w:id="1"/>
      <w:r>
        <w:rPr>
          <w:color w:val="1E1B4B"/>
        </w:rPr>
        <w:t>2</w:t>
      </w:r>
      <w:r>
        <w:rPr>
          <w:color w:val="1E1B4B"/>
        </w:rPr>
        <w:t xml:space="preserve">. Parcours Étudiant </w:t>
      </w:r>
      <w:r>
        <w:rPr>
          <w:color w:val="1E1B4B"/>
        </w:rPr>
        <w:t>2</w:t>
      </w:r>
      <w:r>
        <w:rPr>
          <w:color w:val="1E1B4B"/>
        </w:rPr>
        <w:t xml:space="preserve">, </w:t>
      </w:r>
      <w:r>
        <w:rPr>
          <w:color w:val="1E1B4B"/>
        </w:rPr>
        <w:t>Julien Dupont</w:t>
      </w:r>
      <w:r>
        <w:rPr>
          <w:color w:val="1E1B4B"/>
        </w:rPr>
        <w:t xml:space="preserve"> </w:t>
      </w:r>
      <w:r>
        <w:rPr>
          <w:color w:val="1E1B4B"/>
        </w:rPr>
        <w:t>(cible primaire)</w:t>
      </w:r>
      <w:r>
        <w:rPr>
          <w:color w:val="1E1B4B"/>
        </w:rPr>
        <w:t xml:space="preserve">, </w:t>
      </w:r>
      <w:r>
        <w:rPr>
          <w:color w:val="1E1B4B"/>
        </w:rPr>
        <w:t>étudiant régulier mais désorganisé</w:t>
      </w:r>
    </w:p>
    <w:p>
      <w:pPr>
        <w:pStyle w:val="Normal"/>
        <w:spacing w:before="57" w:after="200"/>
        <w:ind w:left="227" w:right="227" w:hanging="0"/>
        <w:rPr>
          <w:b/>
          <w:b/>
          <w:color w:val="DC2626"/>
          <w:sz w:val="18"/>
        </w:rPr>
      </w:pPr>
      <w:r>
        <w:rPr>
          <w:b/>
          <w:color w:val="DC2626"/>
          <w:sz w:val="18"/>
        </w:rPr>
      </w:r>
    </w:p>
    <w:tbl>
      <w:tblPr>
        <w:tblW w:w="86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</w:tcBorders>
            <w:shd w:fill="1E1B4B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libri" w:hAnsi="Calibri" w:eastAsia="ＭＳ ゴシック"/>
                <w:b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  <w:t>Étape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</w:tcBorders>
            <w:shd w:fill="1E1B4B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libri" w:hAnsi="Calibri" w:eastAsia="ＭＳ ゴシック"/>
                <w:b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  <w:t>Actions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</w:tcBorders>
            <w:shd w:fill="1E1B4B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libri" w:hAnsi="Calibri" w:eastAsia="ＭＳ ゴシック"/>
                <w:b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  <w:t>Pensées (au « je »)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</w:tcBorders>
            <w:shd w:fill="1E1B4B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libri" w:hAnsi="Calibri" w:eastAsia="ＭＳ ゴシック"/>
                <w:b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  <w:t>Émotion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fill="1E1B4B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libri" w:hAnsi="Calibri" w:eastAsia="ＭＳ ゴシック"/>
                <w:b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  <w:t>Frictions / Opportunités</w:t>
            </w:r>
          </w:p>
        </w:tc>
      </w:tr>
      <w:tr>
        <w:trPr/>
        <w:tc>
          <w:tcPr>
            <w:tcW w:w="1728" w:type="dxa"/>
            <w:tcBorders>
              <w:left w:val="single" w:sz="8" w:space="0" w:color="4F81BD"/>
              <w:bottom w:val="single" w:sz="1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libri" w:hAnsi="Calibri" w:eastAsia="ＭＳ ゴシック"/>
                <w:b/>
                <w:b/>
                <w:bCs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15"/>
                <w:szCs w:val="22"/>
                <w:lang w:val="en-US" w:eastAsia="en-US" w:bidi="ar-SA"/>
              </w:rPr>
              <w:t>1. Découverte</w:t>
            </w:r>
          </w:p>
        </w:tc>
        <w:tc>
          <w:tcPr>
            <w:tcW w:w="1728" w:type="dxa"/>
            <w:tcBorders>
              <w:left w:val="single" w:sz="8" w:space="0" w:color="4F81BD"/>
              <w:bottom w:val="single" w:sz="1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Julien</w:t>
            </w: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 xml:space="preserve"> découvre EduTutor IA parce qu'il cherche une méthode pour ne plus réviser uniquement au dernier moment.</w:t>
            </w:r>
          </w:p>
        </w:tc>
        <w:tc>
          <w:tcPr>
            <w:tcW w:w="1728" w:type="dxa"/>
            <w:tcBorders>
              <w:left w:val="single" w:sz="8" w:space="0" w:color="4F81BD"/>
              <w:bottom w:val="single" w:sz="1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« Je révise souvent trop tard. Il me faudrait un outil qui m'aide à structurer mes révisions semaine après semaine. »</w:t>
            </w:r>
          </w:p>
        </w:tc>
        <w:tc>
          <w:tcPr>
            <w:tcW w:w="1728" w:type="dxa"/>
            <w:tcBorders>
              <w:left w:val="single" w:sz="8" w:space="0" w:color="4F81BD"/>
              <w:bottom w:val="single" w:sz="1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 xml:space="preserve">😐 </w:t>
            </w: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Intéressé</w:t>
            </w:r>
          </w:p>
        </w:tc>
        <w:tc>
          <w:tcPr>
            <w:tcW w:w="1728" w:type="dxa"/>
            <w:tcBorders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 xml:space="preserve">🚧 </w:t>
            </w: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Friction : il peut penser que c'est seulement un générateur de quiz ponctuel.</w:t>
              <w:br/>
              <w:t>💡 Opportunité : montrer dès le départ la valeur de l'historique, des scores et de la progression.</w:t>
            </w:r>
          </w:p>
        </w:tc>
      </w:tr>
      <w:tr>
        <w:trPr/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libri" w:hAnsi="Calibri" w:eastAsia="ＭＳ ゴシック"/>
                <w:b/>
                <w:b/>
                <w:bCs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15"/>
                <w:szCs w:val="22"/>
                <w:lang w:val="en-US" w:eastAsia="en-US" w:bidi="ar-SA"/>
              </w:rPr>
              <w:t>2. Inscription / Retour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Il se connecte à son espace personnel, retrouve ses cours déjà importés ou ajoute un nouveau support.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« Je ne veux pas repartir de zéro à chaque fois. Je veux retrouver mes anciens quiz facilement. »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 xml:space="preserve">😐 </w:t>
            </w: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Exigeant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 xml:space="preserve">🚧 </w:t>
            </w: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Friction : tableau de bord confus, anciens quiz difficiles à retrouver.</w:t>
              <w:br/>
              <w:t>💡 Opportunité : classer les quiz par cours, date, score et statut terminé / à refaire.</w:t>
            </w:r>
          </w:p>
        </w:tc>
      </w:tr>
      <w:tr>
        <w:trPr/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libri" w:hAnsi="Calibri" w:eastAsia="ＭＳ ゴシック"/>
                <w:b/>
                <w:b/>
                <w:bCs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15"/>
                <w:szCs w:val="22"/>
                <w:lang w:val="en-US" w:eastAsia="en-US" w:bidi="ar-SA"/>
              </w:rPr>
              <w:t>3. Entraînement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Il génère plusieurs quiz sur différents chapitres, refait certains quiz et compare ses résultats.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« Je veux savoir si je progresse vraiment, pas seulement obtenir une note une fois. »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 xml:space="preserve">😐 </w:t>
            </w: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Concentré -&gt; 😊 encouragé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 xml:space="preserve">🚧 </w:t>
            </w: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Friction : absence de comparaison entre les tentatives ou scores dispersés.</w:t>
              <w:br/>
              <w:t>💡 Opportunité : afficher l'évolution des scores par cours et signaler les chapitres qui restent faibles.</w:t>
            </w:r>
          </w:p>
        </w:tc>
      </w:tr>
      <w:tr>
        <w:trPr/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libri" w:hAnsi="Calibri" w:eastAsia="ＭＳ ゴシック"/>
                <w:b/>
                <w:b/>
                <w:bCs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15"/>
                <w:szCs w:val="22"/>
                <w:lang w:val="en-US" w:eastAsia="en-US" w:bidi="ar-SA"/>
              </w:rPr>
              <w:t>4. Usage régulier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Avant chaque séance de révision, il consulte l'historique, priorise les cours où son score est faible et refait un quiz ciblé.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« Je gagne du temps parce que je révise directement mes points faibles au lieu de relire tout le cours. »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 xml:space="preserve">😊 </w:t>
            </w: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Motivé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 xml:space="preserve">🚧 </w:t>
            </w: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Friction : historique incomplet ou pas assez lisible pour décider quoi réviser.</w:t>
              <w:br/>
              <w:t>💡 Opportunité : filtres par cours, date, score, tentative et bouton 'refaire un quiz'.</w:t>
            </w:r>
          </w:p>
        </w:tc>
      </w:tr>
      <w:tr>
        <w:trPr/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libri" w:hAnsi="Calibri" w:eastAsia="ＭＳ ゴシック"/>
                <w:b/>
                <w:b/>
                <w:bCs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15"/>
                <w:szCs w:val="22"/>
                <w:lang w:val="en-US" w:eastAsia="en-US" w:bidi="ar-SA"/>
              </w:rPr>
              <w:t>5. Recommandation / Fidélisation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Il intègre EduTutor IA dans sa routine de révision et en parle à son groupe de travail.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« C'est devenu mon outil de suivi, pas juste un test IA. On pourrait même réviser ensemble avec les mêmes quiz. »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 xml:space="preserve">😊 </w:t>
            </w: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Fidèle et confiant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 xml:space="preserve">🚧 </w:t>
            </w: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Friction : pas encore de partage de quiz entre étudiants.</w:t>
              <w:br/>
              <w:t>💡 Opportunité : prévoir en Release 2 une option de partage ou de session de révision commune.</w:t>
            </w:r>
          </w:p>
        </w:tc>
      </w:tr>
    </w:tbl>
    <w:p>
      <w:pPr>
        <w:pStyle w:val="Normal"/>
        <w:rPr/>
      </w:pPr>
      <w:r>
        <w:rPr>
          <w:b/>
          <w:i/>
        </w:rPr>
        <w:t xml:space="preserve">Moment de décrochage potentiel identifié : </w:t>
      </w:r>
      <w:r>
        <w:rPr>
          <w:b w:val="false"/>
          <w:bCs w:val="false"/>
          <w:i/>
        </w:rPr>
        <w:t>Étape 4 (Usage régulier), si l'historique est incomplet, difficile à filtrer ou si Nassim ne voit pas sa progression. Investissement prioritaire : historique clair par cours, score visible, comparaison entre tentatives et possibilité de refaire un quiz ciblé.</w:t>
      </w:r>
    </w:p>
    <w:p>
      <w:pPr>
        <w:pStyle w:val="Heading1"/>
        <w:rPr>
          <w:color w:val="1E1B4B"/>
        </w:rPr>
      </w:pPr>
      <w:bookmarkStart w:id="2" w:name="__RefHeading___Toc83854_610055533"/>
      <w:bookmarkEnd w:id="2"/>
      <w:r>
        <w:rPr>
          <w:color w:val="1E1B4B"/>
        </w:rPr>
        <w:t>3. Persona 3 - Mme Bernard, responsable d'établissement</w:t>
      </w:r>
    </w:p>
    <w:p>
      <w:pPr>
        <w:pStyle w:val="Normal"/>
        <w:ind w:left="227" w:right="227" w:hanging="0"/>
        <w:rPr/>
      </w:pPr>
      <w:r>
        <w:rPr/>
      </w:r>
    </w:p>
    <w:tbl>
      <w:tblPr>
        <w:tblW w:w="86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</w:tcBorders>
            <w:shd w:fill="1E1B4B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libri" w:hAnsi="Calibri" w:eastAsia="ＭＳ ゴシック"/>
                <w:b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  <w:t>Étape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</w:tcBorders>
            <w:shd w:fill="1E1B4B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libri" w:hAnsi="Calibri" w:eastAsia="ＭＳ ゴシック"/>
                <w:b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  <w:t>Actions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</w:tcBorders>
            <w:shd w:fill="1E1B4B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libri" w:hAnsi="Calibri" w:eastAsia="ＭＳ ゴシック"/>
                <w:b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  <w:t>Pensées (au « je »)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</w:tcBorders>
            <w:shd w:fill="1E1B4B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libri" w:hAnsi="Calibri" w:eastAsia="ＭＳ ゴシック"/>
                <w:b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  <w:t>Émotion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fill="1E1B4B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libri" w:hAnsi="Calibri" w:eastAsia="ＭＳ ゴシック"/>
                <w:b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  <w:t>Frictions / Opportunités</w:t>
            </w:r>
          </w:p>
        </w:tc>
      </w:tr>
      <w:tr>
        <w:trPr/>
        <w:tc>
          <w:tcPr>
            <w:tcW w:w="1728" w:type="dxa"/>
            <w:tcBorders>
              <w:left w:val="single" w:sz="8" w:space="0" w:color="4F81BD"/>
              <w:bottom w:val="single" w:sz="1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libri" w:hAnsi="Calibri" w:eastAsia="ＭＳ ゴシック"/>
                <w:b/>
                <w:b/>
                <w:bCs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15"/>
                <w:szCs w:val="22"/>
                <w:lang w:val="en-US" w:eastAsia="en-US" w:bidi="ar-SA"/>
              </w:rPr>
              <w:t>1. Découverte du besoin</w:t>
            </w:r>
          </w:p>
        </w:tc>
        <w:tc>
          <w:tcPr>
            <w:tcW w:w="1728" w:type="dxa"/>
            <w:tcBorders>
              <w:left w:val="single" w:sz="8" w:space="0" w:color="4F81BD"/>
              <w:bottom w:val="single" w:sz="1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Mme Bernard identifie le besoin d'encadrer les usages IA dans l'établissement tout en proposant un outil utile aux étudiants.</w:t>
            </w:r>
          </w:p>
        </w:tc>
        <w:tc>
          <w:tcPr>
            <w:tcW w:w="1728" w:type="dxa"/>
            <w:tcBorders>
              <w:left w:val="single" w:sz="8" w:space="0" w:color="4F81BD"/>
              <w:bottom w:val="single" w:sz="1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« Nous devons accompagner les étudiants dans l'usage de l'IA, mais sans exposer les données académiques. »</w:t>
            </w:r>
          </w:p>
        </w:tc>
        <w:tc>
          <w:tcPr>
            <w:tcW w:w="1728" w:type="dxa"/>
            <w:tcBorders>
              <w:left w:val="single" w:sz="8" w:space="0" w:color="4F81BD"/>
              <w:bottom w:val="single" w:sz="1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 xml:space="preserve">😐 </w:t>
            </w: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Sous pression</w:t>
            </w:r>
          </w:p>
        </w:tc>
        <w:tc>
          <w:tcPr>
            <w:tcW w:w="1728" w:type="dxa"/>
            <w:tcBorders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 xml:space="preserve">🚧 </w:t>
            </w: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Friction : méfiance envers les outils IA cloud et difficulté à distinguer les solutions conformes.</w:t>
              <w:br/>
              <w:t>💡 Opportunité : positionner EduTutor IA comme local-first, centré sur les cours fournis et pensé pour le cadre scolaire.</w:t>
            </w:r>
          </w:p>
        </w:tc>
      </w:tr>
      <w:tr>
        <w:trPr/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libri" w:hAnsi="Calibri" w:eastAsia="ＭＳ ゴシック"/>
                <w:b/>
                <w:b/>
                <w:bCs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15"/>
                <w:szCs w:val="22"/>
                <w:lang w:val="en-US" w:eastAsia="en-US" w:bidi="ar-SA"/>
              </w:rPr>
              <w:t>2. Évaluation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Elle analyse le dossier RGPD, le mode d'hébergement, le coût par élève, le périmètre du pilote et l'intégration possible au SI existant.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« Si la conformité, l'hébergement et le budget ne sont pas clairs, je ne peux pas prendre le risque. »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 xml:space="preserve">😐 </w:t>
            </w: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Méticuleuse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 xml:space="preserve">🚧 </w:t>
            </w: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Friction : garanties RGPD, architecture ou tarification insuffisamment documentées.</w:t>
              <w:br/>
              <w:t>💡 Opportunité : fournir une fiche conformité, un schéma d'architecture et une proposition de pilote limitée.</w:t>
            </w:r>
          </w:p>
        </w:tc>
      </w:tr>
      <w:tr>
        <w:trPr/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libri" w:hAnsi="Calibri" w:eastAsia="ＭＳ ゴシック"/>
                <w:b/>
                <w:b/>
                <w:bCs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15"/>
                <w:szCs w:val="22"/>
                <w:lang w:val="en-US" w:eastAsia="en-US" w:bidi="ar-SA"/>
              </w:rPr>
              <w:t>3. Décision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Elle compare EduTutor IA à d'autres solutions, valide un pilote sur un périmètre réduit et définit les indicateurs de succès.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« Un pilote limité me permet de tester la valeur réelle sans engager tout l'établissement immédiatement. »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 xml:space="preserve">😐 </w:t>
            </w: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Prudente -&gt; 😊 rassurée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 xml:space="preserve">🚧 </w:t>
            </w: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Friction : budget contraint et peur d'un faible taux d'adoption.</w:t>
              <w:br/>
              <w:t>💡 Opportunité : proposer un coût prévisible, un périmètre d'essai et des KPI simples : utilisateurs actifs, quiz générés, scores consultés.</w:t>
            </w:r>
          </w:p>
        </w:tc>
      </w:tr>
      <w:tr>
        <w:trPr/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libri" w:hAnsi="Calibri" w:eastAsia="ＭＳ ゴシック"/>
                <w:b/>
                <w:b/>
                <w:bCs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15"/>
                <w:szCs w:val="22"/>
                <w:lang w:val="en-US" w:eastAsia="en-US" w:bidi="ar-SA"/>
              </w:rPr>
              <w:t>4. Déploiement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Elle organise le lancement, communique aux étudiants, suit les premiers usages et vérifie que le support technique reste simple.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« Si le lancement est compliqué, l'adoption sera faible, même si l'outil est utile. »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 xml:space="preserve">😐 </w:t>
            </w: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Attentive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 xml:space="preserve">🚧 </w:t>
            </w: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Friction : besoin d'accompagnement au démarrage et risque de blocages techniques.</w:t>
              <w:br/>
              <w:t>💡 Opportunité : kit de lancement, tutoriel court, FAQ et tableau de bord de suivi.</w:t>
            </w:r>
          </w:p>
        </w:tc>
      </w:tr>
      <w:tr>
        <w:trPr/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libri" w:hAnsi="Calibri" w:eastAsia="ＭＳ ゴシック"/>
                <w:b/>
                <w:b/>
                <w:bCs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15"/>
                <w:szCs w:val="22"/>
                <w:lang w:val="en-US" w:eastAsia="en-US" w:bidi="ar-SA"/>
              </w:rPr>
              <w:t>5. Renouvellement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Elle analyse les indicateurs d'usage et de satisfaction pour décider de prolonger, élargir ou arrêter le dispositif.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« Je dois pouvoir justifier que l'outil apporte une vraie valeur pédagogique et qu'il respecte nos contraintes. »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 xml:space="preserve">😊 </w:t>
            </w: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Confiante si les KPI sont positifs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 xml:space="preserve">🚧 </w:t>
            </w: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Friction : reporting insuffisant ou absence de preuves d'usage.</w:t>
              <w:br/>
              <w:t>💡 Opportunité : rapport synthétique d'adoption, export des indicateurs et bilan du pilote.</w:t>
            </w:r>
          </w:p>
        </w:tc>
      </w:tr>
    </w:tbl>
    <w:p>
      <w:pPr>
        <w:pStyle w:val="Normal"/>
        <w:spacing w:before="57" w:after="200"/>
        <w:ind w:left="227" w:right="227" w:hanging="0"/>
        <w:rPr>
          <w:color w:val="000000"/>
        </w:rPr>
      </w:pPr>
      <w:r>
        <w:rPr>
          <w:b/>
          <w:i/>
          <w:color w:val="000000"/>
          <w:sz w:val="18"/>
        </w:rPr>
        <w:t xml:space="preserve">Moment de décrochage potentiel identifié : </w:t>
      </w:r>
      <w:r>
        <w:rPr>
          <w:b w:val="false"/>
          <w:bCs w:val="false"/>
          <w:i/>
          <w:color w:val="000000"/>
          <w:sz w:val="18"/>
        </w:rPr>
        <w:t>Étape 2 (Évaluation), si les garanties RGPD, l'hébergement local, le périmètre du pilote ou le budget ne sont pas clairement documentés. Investissement prioritaire : fiche de conformité, schéma d'architecture, modèle tarifaire simple et critères de succès du pilote.</w:t>
      </w:r>
    </w:p>
    <w:p>
      <w:pPr>
        <w:pStyle w:val="Heading1"/>
        <w:rPr>
          <w:color w:val="1E1B4B"/>
        </w:rPr>
      </w:pPr>
      <w:bookmarkStart w:id="3" w:name="__RefHeading___Toc83856_610055533"/>
      <w:bookmarkEnd w:id="3"/>
      <w:r>
        <w:rPr>
          <w:color w:val="1E1B4B"/>
        </w:rPr>
        <w:t>4. Synthèse émotionnelle des 3 parcours</w:t>
      </w:r>
    </w:p>
    <w:p>
      <w:pPr>
        <w:pStyle w:val="Normal"/>
        <w:ind w:left="227" w:right="227" w:hanging="0"/>
        <w:rPr>
          <w:b/>
          <w:b/>
          <w:color w:val="DC2626"/>
          <w:sz w:val="18"/>
        </w:rPr>
      </w:pPr>
      <w:r>
        <w:rPr>
          <w:b/>
          <w:color w:val="DC2626"/>
          <w:sz w:val="18"/>
        </w:rPr>
      </w:r>
    </w:p>
    <w:tbl>
      <w:tblPr>
        <w:tblW w:w="86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</w:tcBorders>
            <w:shd w:fill="1E1B4B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libri" w:hAnsi="Calibri" w:eastAsia="ＭＳ ゴシック"/>
                <w:b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  <w:t>Étape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</w:tcBorders>
            <w:shd w:fill="1E1B4B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libri" w:hAnsi="Calibri" w:eastAsia="ＭＳ ゴシック"/>
                <w:b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  <w:t>Léa Martin</w:t>
              <w:br/>
              <w:t>Étudiante en révision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</w:tcBorders>
            <w:shd w:fill="1E1B4B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libri" w:hAnsi="Calibri" w:eastAsia="ＭＳ ゴシック"/>
                <w:b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  <w:t>Nassim Benali</w:t>
              <w:br/>
              <w:t>Étudiant régulier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fill="1E1B4B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libri" w:hAnsi="Calibri" w:eastAsia="ＭＳ ゴシック"/>
                <w:b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  <w:t>Mme Bernard</w:t>
              <w:br/>
              <w:t>Responsable d'établissement</w:t>
            </w:r>
          </w:p>
        </w:tc>
      </w:tr>
      <w:tr>
        <w:trPr/>
        <w:tc>
          <w:tcPr>
            <w:tcW w:w="2160" w:type="dxa"/>
            <w:tcBorders>
              <w:lef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libri" w:hAnsi="Calibri" w:eastAsia="ＭＳ ゴシック"/>
                <w:b/>
                <w:b/>
                <w:bCs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15"/>
                <w:szCs w:val="22"/>
                <w:lang w:val="en-US" w:eastAsia="en-US" w:bidi="ar-SA"/>
              </w:rPr>
              <w:t>1. Découverte / Besoin</w:t>
            </w:r>
          </w:p>
        </w:tc>
        <w:tc>
          <w:tcPr>
            <w:tcW w:w="2160" w:type="dxa"/>
            <w:tcBorders>
              <w:lef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 xml:space="preserve">😐 </w:t>
            </w: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Curieuse, prudente</w:t>
            </w:r>
          </w:p>
        </w:tc>
        <w:tc>
          <w:tcPr>
            <w:tcW w:w="2160" w:type="dxa"/>
            <w:tcBorders>
              <w:lef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 xml:space="preserve">😐 </w:t>
            </w: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Intéressé</w:t>
            </w:r>
          </w:p>
        </w:tc>
        <w:tc>
          <w:tcPr>
            <w:tcW w:w="2160" w:type="dxa"/>
            <w:tcBorders>
              <w:left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 xml:space="preserve">😐 </w:t>
            </w: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Sous pression</w:t>
            </w:r>
          </w:p>
        </w:tc>
      </w:tr>
      <w:tr>
        <w:trPr/>
        <w:tc>
          <w:tcPr>
            <w:tcW w:w="2160" w:type="dxa"/>
            <w:tcBorders>
              <w:left w:val="single" w:sz="8" w:space="0" w:color="4F81BD"/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libri" w:hAnsi="Calibri" w:eastAsia="ＭＳ ゴシック"/>
                <w:b/>
                <w:b/>
                <w:bCs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15"/>
                <w:szCs w:val="22"/>
                <w:lang w:val="en-US" w:eastAsia="en-US" w:bidi="ar-SA"/>
              </w:rPr>
              <w:t>2. Inscription / Évaluation</w:t>
            </w:r>
          </w:p>
        </w:tc>
        <w:tc>
          <w:tcPr>
            <w:tcW w:w="2160" w:type="dxa"/>
            <w:tcBorders>
              <w:left w:val="single" w:sz="8" w:space="0" w:color="4F81BD"/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 xml:space="preserve">😐 </w:t>
            </w: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Vigilante</w:t>
            </w:r>
          </w:p>
        </w:tc>
        <w:tc>
          <w:tcPr>
            <w:tcW w:w="2160" w:type="dxa"/>
            <w:tcBorders>
              <w:left w:val="single" w:sz="8" w:space="0" w:color="4F81BD"/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 xml:space="preserve">😐 </w:t>
            </w: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Exigeant</w:t>
            </w:r>
          </w:p>
        </w:tc>
        <w:tc>
          <w:tcPr>
            <w:tcW w:w="2160" w:type="dxa"/>
            <w:tcBorders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 xml:space="preserve">😐 </w:t>
            </w: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Méticuleuse</w:t>
            </w:r>
          </w:p>
        </w:tc>
      </w:tr>
      <w:tr>
        <w:trPr/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libri" w:hAnsi="Calibri" w:eastAsia="ＭＳ ゴシック"/>
                <w:b/>
                <w:b/>
                <w:bCs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15"/>
                <w:szCs w:val="22"/>
                <w:lang w:val="en-US" w:eastAsia="en-US" w:bidi="ar-SA"/>
              </w:rPr>
              <w:t>3. Première utilisation / Décision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 xml:space="preserve">😐 </w:t>
            </w: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-&gt; 😊 Rassurée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 xml:space="preserve">😐 </w:t>
            </w: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-&gt; 😊 Encouragé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 xml:space="preserve">😐 </w:t>
            </w: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-&gt; 😊 Rassurée</w:t>
            </w:r>
          </w:p>
        </w:tc>
      </w:tr>
      <w:tr>
        <w:trPr/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libri" w:hAnsi="Calibri" w:eastAsia="ＭＳ ゴシック"/>
                <w:b/>
                <w:b/>
                <w:bCs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15"/>
                <w:szCs w:val="22"/>
                <w:lang w:val="en-US" w:eastAsia="en-US" w:bidi="ar-SA"/>
              </w:rPr>
              <w:t>4. Usage régulier / Déploiement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 xml:space="preserve">😊 </w:t>
            </w: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Satisfaite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 xml:space="preserve">😊 </w:t>
            </w: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Motivé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 xml:space="preserve">😐 </w:t>
            </w: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Attentive</w:t>
            </w:r>
          </w:p>
        </w:tc>
      </w:tr>
      <w:tr>
        <w:trPr/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libri" w:hAnsi="Calibri" w:eastAsia="ＭＳ ゴシック"/>
                <w:b/>
                <w:b/>
                <w:bCs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15"/>
                <w:szCs w:val="22"/>
                <w:lang w:val="en-US" w:eastAsia="en-US" w:bidi="ar-SA"/>
              </w:rPr>
              <w:t>5. Recommandation / Renouvellement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 xml:space="preserve">😊 </w:t>
            </w: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Confiance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 xml:space="preserve">😊 </w:t>
            </w: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Fidèle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 xml:space="preserve">😊 </w:t>
            </w:r>
            <w:r>
              <w:rPr>
                <w:rFonts w:eastAsia="ＭＳ 明朝"/>
                <w:kern w:val="0"/>
                <w:sz w:val="15"/>
                <w:szCs w:val="22"/>
                <w:lang w:val="en-US" w:eastAsia="en-US" w:bidi="ar-SA"/>
              </w:rPr>
              <w:t>Confiante si KPI positifs</w:t>
            </w:r>
          </w:p>
        </w:tc>
      </w:tr>
    </w:tbl>
    <w:p>
      <w:pPr>
        <w:pStyle w:val="Normal"/>
        <w:spacing w:before="57" w:after="200"/>
        <w:ind w:left="227" w:right="227" w:hanging="0"/>
        <w:rPr/>
      </w:pPr>
      <w:r>
        <w:rPr/>
      </w:r>
      <w:r>
        <w:br w:type="page"/>
      </w:r>
    </w:p>
    <w:p>
      <w:pPr>
        <w:pStyle w:val="Heading1"/>
        <w:rPr>
          <w:color w:val="1E1B4B"/>
        </w:rPr>
      </w:pPr>
      <w:bookmarkStart w:id="4" w:name="__RefHeading___Toc83858_610055533"/>
      <w:bookmarkEnd w:id="4"/>
      <w:r>
        <w:rPr>
          <w:color w:val="1E1B4B"/>
        </w:rPr>
        <w:t xml:space="preserve">✅ </w:t>
      </w:r>
      <w:r>
        <w:rPr>
          <w:color w:val="1E1B4B"/>
        </w:rPr>
        <w:t>Grille d'auto-évaluation</w:t>
      </w:r>
    </w:p>
    <w:p>
      <w:pPr>
        <w:pStyle w:val="Normal"/>
        <w:rPr>
          <w:i/>
          <w:i/>
          <w:color w:val="475569"/>
          <w:sz w:val="20"/>
        </w:rPr>
      </w:pPr>
      <w:r>
        <w:rPr>
          <w:i/>
          <w:color w:val="475569"/>
          <w:sz w:val="20"/>
        </w:rPr>
        <w:t>À remplir par l'équipe avant de soumettre le livrable au Product Owner. Un livrable rempli avec « Partiel » sur plusieurs lignes signale un besoin de revue collective avant validation.</w:t>
      </w:r>
    </w:p>
    <w:tbl>
      <w:tblPr>
        <w:tblW w:w="9638" w:type="dxa"/>
        <w:jc w:val="left"/>
        <w:tblInd w:w="-1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2"/>
        <w:gridCol w:w="2551"/>
        <w:gridCol w:w="2835"/>
      </w:tblGrid>
      <w:tr>
        <w:trPr/>
        <w:tc>
          <w:tcPr>
            <w:tcW w:w="425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fill="1E1B4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/>
                <w:b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  <w:t>Critère qualité</w:t>
            </w:r>
          </w:p>
        </w:tc>
        <w:tc>
          <w:tcPr>
            <w:tcW w:w="255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fill="1E1B4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/>
                <w:b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  <w:t>Auto-évaluation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fill="1E1B4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/>
                <w:b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  <w:t>Commentaire / preuve</w:t>
            </w:r>
          </w:p>
        </w:tc>
      </w:tr>
      <w:tr>
        <w:trPr/>
        <w:tc>
          <w:tcPr>
            <w:tcW w:w="42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/>
                <w:b/>
                <w:b/>
                <w:bCs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0"/>
                <w:szCs w:val="22"/>
                <w:lang w:val="en-US" w:eastAsia="en-US" w:bidi="ar-SA"/>
              </w:rPr>
              <w:t>Les 3 parcours sont décrits sur les 5 étapes (Découverte → Recommandation/Renouvellement)</w:t>
            </w:r>
          </w:p>
        </w:tc>
        <w:tc>
          <w:tcPr>
            <w:tcW w:w="25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0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/>
                <w:kern w:val="0"/>
                <w:sz w:val="20"/>
                <w:szCs w:val="22"/>
                <w:lang w:val="en-US" w:eastAsia="en-US" w:bidi="ar-SA"/>
              </w:rPr>
              <w:t>Oui   ☐ Partiel   ☐ Non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2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/>
                <w:b/>
                <w:b/>
                <w:bCs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0"/>
                <w:szCs w:val="22"/>
                <w:lang w:val="en-US" w:eastAsia="en-US" w:bidi="ar-SA"/>
              </w:rPr>
              <w:t>Chaque cellule "Actions" contient une action concrète et observable (pas un concept vague)</w:t>
            </w:r>
          </w:p>
        </w:tc>
        <w:tc>
          <w:tcPr>
            <w:tcW w:w="25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0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/>
                <w:kern w:val="0"/>
                <w:sz w:val="20"/>
                <w:szCs w:val="22"/>
                <w:lang w:val="en-US" w:eastAsia="en-US" w:bidi="ar-SA"/>
              </w:rPr>
              <w:t>Oui   ☐ Partiel   ☐ Non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2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/>
                <w:b/>
                <w:b/>
                <w:bCs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0"/>
                <w:szCs w:val="22"/>
                <w:lang w:val="en-US" w:eastAsia="en-US" w:bidi="ar-SA"/>
              </w:rPr>
              <w:t>Chaque cellule "Pensées" est formulée au « je », entre guillemets</w:t>
            </w:r>
          </w:p>
        </w:tc>
        <w:tc>
          <w:tcPr>
            <w:tcW w:w="25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0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/>
                <w:kern w:val="0"/>
                <w:sz w:val="20"/>
                <w:szCs w:val="22"/>
                <w:lang w:val="en-US" w:eastAsia="en-US" w:bidi="ar-SA"/>
              </w:rPr>
              <w:t>Oui   ☐ Partiel   ☐ Non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2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/>
                <w:b/>
                <w:b/>
                <w:bCs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0"/>
                <w:szCs w:val="22"/>
                <w:lang w:val="en-US" w:eastAsia="en-US" w:bidi="ar-SA"/>
              </w:rPr>
              <w:t>Chaque cellule "Émotion" utilise l'échelle 😡 → 😐 → 😊 (au moins 1 transition par parcours)</w:t>
            </w:r>
          </w:p>
        </w:tc>
        <w:tc>
          <w:tcPr>
            <w:tcW w:w="25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0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/>
                <w:kern w:val="0"/>
                <w:sz w:val="20"/>
                <w:szCs w:val="22"/>
                <w:lang w:val="en-US" w:eastAsia="en-US" w:bidi="ar-SA"/>
              </w:rPr>
              <w:t>Oui   ☐ Partiel   ☐ Non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2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/>
                <w:b/>
                <w:b/>
                <w:bCs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0"/>
                <w:szCs w:val="22"/>
                <w:lang w:val="en-US" w:eastAsia="en-US" w:bidi="ar-SA"/>
              </w:rPr>
              <w:t>Chaque cellule "Frictions/Opportunités" identifie au moins 1 friction ET 1 opportunité</w:t>
            </w:r>
          </w:p>
        </w:tc>
        <w:tc>
          <w:tcPr>
            <w:tcW w:w="25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0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/>
                <w:kern w:val="0"/>
                <w:sz w:val="20"/>
                <w:szCs w:val="22"/>
                <w:lang w:val="en-US" w:eastAsia="en-US" w:bidi="ar-SA"/>
              </w:rPr>
              <w:t>Oui   ☐ Partiel   ☐ Non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2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/>
                <w:b/>
                <w:b/>
                <w:bCs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0"/>
                <w:szCs w:val="22"/>
                <w:lang w:val="en-US" w:eastAsia="en-US" w:bidi="ar-SA"/>
              </w:rPr>
              <w:t>Le moment de décrochage potentiel est explicitement identifié pour chaque parcours</w:t>
            </w:r>
          </w:p>
        </w:tc>
        <w:tc>
          <w:tcPr>
            <w:tcW w:w="25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0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/>
                <w:kern w:val="0"/>
                <w:sz w:val="20"/>
                <w:szCs w:val="22"/>
                <w:lang w:val="en-US" w:eastAsia="en-US" w:bidi="ar-SA"/>
              </w:rPr>
              <w:t>Oui   ☐ Partiel   ☐ Non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2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/>
                <w:b/>
                <w:b/>
                <w:bCs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0"/>
                <w:szCs w:val="22"/>
                <w:lang w:val="en-US" w:eastAsia="en-US" w:bidi="ar-SA"/>
              </w:rPr>
              <w:t>La synthèse émotionnelle (heatmap) repère le bon "point de levier produit"</w:t>
            </w:r>
          </w:p>
        </w:tc>
        <w:tc>
          <w:tcPr>
            <w:tcW w:w="25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0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/>
                <w:kern w:val="0"/>
                <w:sz w:val="20"/>
                <w:szCs w:val="22"/>
                <w:lang w:val="en-US" w:eastAsia="en-US" w:bidi="ar-SA"/>
              </w:rPr>
              <w:t>Oui   ☐ Partiel   ☐ Non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2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/>
                <w:b/>
                <w:b/>
                <w:bCs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0"/>
                <w:szCs w:val="22"/>
                <w:lang w:val="en-US" w:eastAsia="en-US" w:bidi="ar-SA"/>
              </w:rPr>
              <w:t>Le parcours "Établissement" reflète bien un cycle d'achat B2B (et pas un usage)</w:t>
            </w:r>
          </w:p>
        </w:tc>
        <w:tc>
          <w:tcPr>
            <w:tcW w:w="25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0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/>
                <w:kern w:val="0"/>
                <w:sz w:val="20"/>
                <w:szCs w:val="22"/>
                <w:lang w:val="en-US" w:eastAsia="en-US" w:bidi="ar-SA"/>
              </w:rPr>
              <w:t>Oui   ☐ Partiel   ☐ Non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2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/>
                <w:b/>
                <w:b/>
                <w:bCs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0"/>
                <w:szCs w:val="22"/>
                <w:lang w:val="en-US" w:eastAsia="en-US" w:bidi="ar-SA"/>
              </w:rPr>
              <w:t>Le document a été relu et validé par l'équipe complète (toutes les voix entendues)</w:t>
            </w:r>
          </w:p>
        </w:tc>
        <w:tc>
          <w:tcPr>
            <w:tcW w:w="25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0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/>
                <w:kern w:val="0"/>
                <w:sz w:val="20"/>
                <w:szCs w:val="22"/>
                <w:lang w:val="en-US" w:eastAsia="en-US" w:bidi="ar-SA"/>
              </w:rPr>
              <w:t>Oui   ☐ Partiel   ☐ Non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rPr>
          <w:color w:val="1E1B4B"/>
        </w:rPr>
      </w:pPr>
      <w:bookmarkStart w:id="5" w:name="__RefHeading___Toc83860_610055533"/>
      <w:bookmarkEnd w:id="5"/>
      <w:r>
        <w:rPr>
          <w:color w:val="1E1B4B"/>
        </w:rPr>
        <w:t xml:space="preserve">📚 </w:t>
      </w:r>
      <w:r>
        <w:rPr>
          <w:color w:val="1E1B4B"/>
        </w:rPr>
        <w:t>Références et conventions</w:t>
      </w:r>
    </w:p>
    <w:p>
      <w:pPr>
        <w:pStyle w:val="Heading2"/>
        <w:rPr>
          <w:color w:val="1E1B4B"/>
        </w:rPr>
      </w:pPr>
      <w:bookmarkStart w:id="6" w:name="__RefHeading___Toc83862_610055533"/>
      <w:bookmarkEnd w:id="6"/>
      <w:r>
        <w:rPr>
          <w:color w:val="1E1B4B"/>
        </w:rPr>
        <w:t>Références incontournables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Cours Agile/Scrum (Mohamed EL AFRIT) : </w:t>
      </w:r>
      <w:r>
        <w:rPr/>
        <w:t>mohamedelafrit.com/teaching/Master_Classe_Agile/cours.html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Scrum Guide officiel FR : </w:t>
      </w:r>
      <w:r>
        <w:rPr/>
        <w:t>scrumguides.org/docs/scrumguide/v2020/2020-Scrum-Guide-French.pdf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Site APOCAL'IPSSI : </w:t>
      </w:r>
      <w:r>
        <w:rPr/>
        <w:t>mohamedelafrit.com/teaching/APOCALIPSSI</w:t>
      </w:r>
    </w:p>
    <w:p>
      <w:pPr>
        <w:pStyle w:val="Heading2"/>
        <w:rPr>
          <w:color w:val="1E1B4B"/>
        </w:rPr>
      </w:pPr>
      <w:bookmarkStart w:id="7" w:name="__RefHeading___Toc83864_610055533"/>
      <w:bookmarkEnd w:id="7"/>
      <w:r>
        <w:rPr>
          <w:color w:val="1E1B4B"/>
        </w:rPr>
        <w:t>Références spécifiques à ce document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Nielsen Norman Group, Customer Journey Maps guide : </w:t>
      </w:r>
      <w:r>
        <w:rPr/>
        <w:t>https://www.nngroup.com/articles/customer-journey-mapping/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Smaply, Journey Mapping toolkit : </w:t>
      </w:r>
      <w:r>
        <w:rPr/>
        <w:t>https://www.smaply.com/journey-mapping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Article, AARRR framework pour produits : </w:t>
      </w:r>
      <w:r>
        <w:rPr/>
        <w:t>https://www.product-frameworks.com/AARRR-Framework.html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Roman Pichler, Customer journey vs Product journey : </w:t>
      </w:r>
      <w:r>
        <w:rPr/>
        <w:t>https://www.romanpichler.com/blog/persona-template-product-managers/</w:t>
      </w:r>
    </w:p>
    <w:p>
      <w:pPr>
        <w:pStyle w:val="Heading2"/>
        <w:rPr>
          <w:color w:val="1E1B4B"/>
        </w:rPr>
      </w:pPr>
      <w:bookmarkStart w:id="8" w:name="__RefHeading___Toc83866_610055533"/>
      <w:bookmarkEnd w:id="8"/>
      <w:r>
        <w:rPr>
          <w:color w:val="1E1B4B"/>
        </w:rPr>
        <w:t>Convention de versionnement</w:t>
      </w:r>
    </w:p>
    <w:p>
      <w:pPr>
        <w:pStyle w:val="ListBullet"/>
        <w:numPr>
          <w:ilvl w:val="0"/>
          <w:numId w:val="2"/>
        </w:numPr>
        <w:rPr/>
      </w:pPr>
      <w:r>
        <w:rPr/>
        <w:t xml:space="preserve">• </w:t>
      </w:r>
      <w:r>
        <w:rPr/>
        <w:t>v1.0, version initiale produite lors du cadrage matinal</w:t>
      </w:r>
    </w:p>
    <w:p>
      <w:pPr>
        <w:pStyle w:val="ListBullet"/>
        <w:numPr>
          <w:ilvl w:val="0"/>
          <w:numId w:val="2"/>
        </w:numPr>
        <w:rPr/>
      </w:pPr>
      <w:r>
        <w:rPr/>
        <w:t xml:space="preserve">• </w:t>
      </w:r>
      <w:r>
        <w:rPr/>
        <w:t>v1.1, v1.2, révisions mineures (typo, ajout d'item) après revue PO</w:t>
      </w:r>
    </w:p>
    <w:p>
      <w:pPr>
        <w:pStyle w:val="ListBullet"/>
        <w:numPr>
          <w:ilvl w:val="0"/>
          <w:numId w:val="2"/>
        </w:numPr>
        <w:rPr/>
      </w:pPr>
      <w:r>
        <w:rPr/>
        <w:t xml:space="preserve">• </w:t>
      </w:r>
      <w:r>
        <w:rPr/>
        <w:t>v2.0, révision majeure suite à une perturbation (changement de scope)</w:t>
      </w:r>
    </w:p>
    <w:p>
      <w:pPr>
        <w:pStyle w:val="ListBullet"/>
        <w:numPr>
          <w:ilvl w:val="0"/>
          <w:numId w:val="2"/>
        </w:numPr>
        <w:rPr/>
      </w:pPr>
      <w:r>
        <w:rPr/>
        <w:t xml:space="preserve">• </w:t>
      </w:r>
      <w:r>
        <w:rPr/>
        <w:t>Chaque version est commitée séparément avec message Git explicite</w:t>
      </w:r>
    </w:p>
    <w:p>
      <w:pPr>
        <w:pStyle w:val="ListBullet"/>
        <w:numPr>
          <w:ilvl w:val="0"/>
          <w:numId w:val="2"/>
        </w:numPr>
        <w:spacing w:before="0" w:after="200"/>
        <w:contextualSpacing/>
        <w:rPr/>
      </w:pPr>
      <w:r>
        <w:rPr/>
        <w:t xml:space="preserve">• </w:t>
      </w:r>
      <w:r>
        <w:rPr/>
        <w:t>Le statut « Validé PO » nécessite une trace écrite (commentaire, mail, Teams)</w:t>
      </w:r>
    </w:p>
    <w:sectPr>
      <w:footerReference w:type="default" r:id="rId2"/>
      <w:type w:val="nextPage"/>
      <w:pgSz w:w="12240" w:h="15840"/>
      <w:pgMar w:left="1800" w:right="1800" w:gutter="0" w:header="0" w:top="1440" w:footer="72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color w:val="475569"/>
        <w:sz w:val="16"/>
      </w:rPr>
    </w:pPr>
    <w:r>
      <w:rPr>
        <w:color w:val="475569"/>
        <w:sz w:val="16"/>
      </w:rPr>
      <w:t>Mohamed Amine EL AFRIT · APOCAL'IPSSI 2026 · CC BY-NC-SA 4.0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ambria" w:hAnsi="Cambria" w:eastAsia="ＭＳ 明朝" w:cs="DejaVu Sans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DejaVu Sans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DejaVu Sans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DejaVu Sans"/>
      <w:b/>
      <w:bCs/>
      <w:color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DejaVu Sans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DejaVu Sans"/>
      <w:color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DejaVu Sans"/>
      <w:i/>
      <w:iCs/>
      <w:color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DejaVu Sans"/>
      <w:i/>
      <w:iCs/>
      <w:color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DejaVu Sans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DejaVu Sans"/>
      <w:i/>
      <w:iCs/>
      <w:color w:val="404040"/>
      <w:sz w:val="20"/>
      <w:szCs w:val="20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" w:hAnsi="Calibri" w:eastAsia="ＭＳ ゴシック" w:cs="DejaVu Sans"/>
      <w:b/>
      <w:bCs/>
      <w:color w:val="365F91"/>
      <w:sz w:val="28"/>
      <w:szCs w:val="28"/>
    </w:rPr>
  </w:style>
  <w:style w:type="character" w:styleId="Heading2Char">
    <w:name w:val="Heading 2 Char"/>
    <w:basedOn w:val="DefaultParagraphFont"/>
    <w:link w:val="Heading2"/>
    <w:qFormat/>
    <w:rPr>
      <w:rFonts w:ascii="Calibri" w:hAnsi="Calibri" w:eastAsia="ＭＳ ゴシック" w:cs="DejaVu Sans"/>
      <w:b/>
      <w:bCs/>
      <w:color w:val="4F81BD"/>
      <w:sz w:val="26"/>
      <w:szCs w:val="26"/>
    </w:rPr>
  </w:style>
  <w:style w:type="character" w:styleId="Heading3Char">
    <w:name w:val="Heading 3 Char"/>
    <w:basedOn w:val="DefaultParagraphFont"/>
    <w:link w:val="Heading3"/>
    <w:qFormat/>
    <w:rPr>
      <w:rFonts w:ascii="Calibri" w:hAnsi="Calibri" w:eastAsia="ＭＳ ゴシック" w:cs="DejaVu Sans"/>
      <w:b/>
      <w:bCs/>
      <w:color w:val="4F81BD"/>
    </w:rPr>
  </w:style>
  <w:style w:type="character" w:styleId="TitleChar">
    <w:name w:val="Title Char"/>
    <w:basedOn w:val="DefaultParagraphFont"/>
    <w:link w:val="Title"/>
    <w:qFormat/>
    <w:rPr>
      <w:rFonts w:ascii="Calibri" w:hAnsi="Calibri" w:eastAsia="ＭＳ ゴシック" w:cs="DejaVu Sans"/>
      <w:color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link w:val="Subtitle"/>
    <w:qFormat/>
    <w:rPr>
      <w:rFonts w:ascii="Calibri" w:hAnsi="Calibri" w:eastAsia="ＭＳ ゴシック" w:cs="DejaVu Sans"/>
      <w:i/>
      <w:iCs/>
      <w:color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val="000000"/>
    </w:rPr>
  </w:style>
  <w:style w:type="character" w:styleId="Heading4Char">
    <w:name w:val="Heading 4 Char"/>
    <w:basedOn w:val="DefaultParagraphFont"/>
    <w:link w:val="Heading4"/>
    <w:qFormat/>
    <w:rPr>
      <w:rFonts w:ascii="Calibri" w:hAnsi="Calibri" w:eastAsia="ＭＳ ゴシック" w:cs="DejaVu Sans"/>
      <w:b/>
      <w:bCs/>
      <w:i/>
      <w:iCs/>
      <w:color w:val="4F81BD"/>
    </w:rPr>
  </w:style>
  <w:style w:type="character" w:styleId="Heading5Char">
    <w:name w:val="Heading 5 Char"/>
    <w:basedOn w:val="DefaultParagraphFont"/>
    <w:link w:val="Heading5"/>
    <w:qFormat/>
    <w:rPr>
      <w:rFonts w:ascii="Calibri" w:hAnsi="Calibri" w:eastAsia="ＭＳ ゴシック" w:cs="DejaVu Sans"/>
      <w:color w:val="243F60"/>
    </w:rPr>
  </w:style>
  <w:style w:type="character" w:styleId="Heading6Char">
    <w:name w:val="Heading 6 Char"/>
    <w:basedOn w:val="DefaultParagraphFont"/>
    <w:link w:val="Heading6"/>
    <w:qFormat/>
    <w:rPr>
      <w:rFonts w:ascii="Calibri" w:hAnsi="Calibri" w:eastAsia="ＭＳ ゴシック" w:cs="DejaVu Sans"/>
      <w:i/>
      <w:iCs/>
      <w:color w:val="243F60"/>
    </w:rPr>
  </w:style>
  <w:style w:type="character" w:styleId="Heading7Char">
    <w:name w:val="Heading 7 Char"/>
    <w:basedOn w:val="DefaultParagraphFont"/>
    <w:link w:val="Heading7"/>
    <w:qFormat/>
    <w:rPr>
      <w:rFonts w:ascii="Calibri" w:hAnsi="Calibri" w:eastAsia="ＭＳ ゴシック" w:cs="DejaVu Sans"/>
      <w:i/>
      <w:iCs/>
      <w:color w:val="404040"/>
    </w:rPr>
  </w:style>
  <w:style w:type="character" w:styleId="Heading8Char">
    <w:name w:val="Heading 8 Char"/>
    <w:basedOn w:val="DefaultParagraphFont"/>
    <w:link w:val="Heading8"/>
    <w:qFormat/>
    <w:rPr>
      <w:rFonts w:ascii="Calibri" w:hAnsi="Calibri" w:eastAsia="ＭＳ ゴシック" w:cs="DejaVu Sans"/>
      <w:color w:val="4F81BD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rFonts w:ascii="Calibri" w:hAnsi="Calibri" w:eastAsia="ＭＳ ゴシック" w:cs="DejaVu Sans"/>
      <w:i/>
      <w:iCs/>
      <w:color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val="4F81BD"/>
    </w:rPr>
  </w:style>
  <w:style w:type="character" w:styleId="SubtleEmphasis">
    <w:name w:val="Subtle Emphasis"/>
    <w:basedOn w:val="DefaultParagraphFont"/>
    <w:qFormat/>
    <w:rPr>
      <w:i/>
      <w:iCs/>
      <w:color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Internet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left="360" w:right="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left"/>
    </w:pPr>
    <w:rPr>
      <w:rFonts w:ascii="Cambria" w:hAnsi="Cambria" w:eastAsia="ＭＳ 明朝" w:cs="DejaVu Sans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DejaVu Sans"/>
      <w:color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DejaVu Sans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left="720" w:right="0" w:hanging="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pPr>
      <w:spacing w:before="0" w:after="200"/>
      <w:ind w:left="720" w:right="0" w:hanging="360"/>
      <w:contextualSpacing/>
    </w:pPr>
    <w:rPr/>
  </w:style>
  <w:style w:type="paragraph" w:styleId="List3">
    <w:name w:val="List Bullet 4"/>
    <w:basedOn w:val="Normal"/>
    <w:pPr>
      <w:spacing w:before="0" w:after="200"/>
      <w:ind w:left="1080" w:right="0" w:hanging="360"/>
      <w:contextualSpacing/>
    </w:pPr>
    <w:rPr/>
  </w:style>
  <w:style w:type="paragraph" w:styleId="ListBullet">
    <w:name w:val="List Bullet"/>
    <w:basedOn w:val="Normal"/>
    <w:qFormat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qFormat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qFormat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qFormat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qFormat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qFormat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qFormat/>
    <w:pPr>
      <w:spacing w:before="0" w:after="120"/>
      <w:ind w:left="360" w:right="0" w:hanging="0"/>
      <w:contextualSpacing/>
    </w:pPr>
    <w:rPr/>
  </w:style>
  <w:style w:type="paragraph" w:styleId="ListContinue2">
    <w:name w:val="List Continue 2"/>
    <w:basedOn w:val="Normal"/>
    <w:qFormat/>
    <w:pPr>
      <w:spacing w:before="0" w:after="120"/>
      <w:ind w:left="720" w:right="0" w:hanging="0"/>
      <w:contextualSpacing/>
    </w:pPr>
    <w:rPr/>
  </w:style>
  <w:style w:type="paragraph" w:styleId="ListContinue3">
    <w:name w:val="List Continue 3"/>
    <w:basedOn w:val="Normal"/>
    <w:qFormat/>
    <w:pPr>
      <w:spacing w:before="0" w:after="120"/>
      <w:ind w:left="1080" w:right="0" w:hanging="0"/>
      <w:contextualSpacing/>
    </w:pPr>
    <w:rPr/>
  </w:style>
  <w:style w:type="paragraph" w:styleId="Macro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ourier" w:hAnsi="Courier" w:eastAsia="ＭＳ 明朝" w:cs="DejaVu Sans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val="000000"/>
    </w:rPr>
  </w:style>
  <w:style w:type="paragraph" w:styleId="Caption1">
    <w:name w:val="caption"/>
    <w:basedOn w:val="Normal"/>
    <w:next w:val="Normal"/>
    <w:qFormat/>
    <w:pPr>
      <w:spacing w:lineRule="auto" w:line="240"/>
    </w:pPr>
    <w:rPr>
      <w:b/>
      <w:bCs/>
      <w:color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Contents1">
    <w:name w:val="TOC 1"/>
    <w:basedOn w:val="Index"/>
    <w:pPr>
      <w:tabs>
        <w:tab w:val="clear" w:pos="720"/>
        <w:tab w:val="right" w:pos="8640" w:leader="dot"/>
      </w:tabs>
      <w:ind w:left="0" w:hanging="0"/>
    </w:pPr>
    <w:rPr/>
  </w:style>
  <w:style w:type="paragraph" w:styleId="Contents2">
    <w:name w:val="TOC 2"/>
    <w:basedOn w:val="Index"/>
    <w:pPr>
      <w:tabs>
        <w:tab w:val="clear" w:pos="720"/>
        <w:tab w:val="right" w:pos="8357" w:leader="dot"/>
      </w:tabs>
      <w:ind w:left="283" w:hanging="0"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LibreOffice/7.3.7.2$Linux_X86_64 LibreOffice_project/30$Build-2</Application>
  <AppVersion>15.0000</AppVersion>
  <Pages>10</Pages>
  <Words>1873</Words>
  <Characters>10022</Characters>
  <CharactersWithSpaces>11738</CharactersWithSpaces>
  <Paragraphs>194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2026-06-29T16:33:11Z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