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68" w:after="200"/>
        <w:jc w:val="center"/>
        <w:rPr/>
      </w:pPr>
      <w:r>
        <w:rPr>
          <w:b/>
          <w:color w:val="1E1B4B"/>
          <w:sz w:val="144"/>
        </w:rPr>
        <w:t>A</w:t>
      </w:r>
    </w:p>
    <w:p>
      <w:pPr>
        <w:pStyle w:val="Normal"/>
        <w:jc w:val="center"/>
        <w:rPr/>
      </w:pPr>
      <w:r>
        <w:rPr>
          <w:rFonts w:ascii="Calibri" w:hAnsi="Calibri"/>
          <w:b/>
          <w:color w:val="1E1B4B"/>
          <w:sz w:val="28"/>
        </w:rPr>
        <w:t>APOCAL'IPSSI</w:t>
      </w:r>
    </w:p>
    <w:p>
      <w:pPr>
        <w:pStyle w:val="Normal"/>
        <w:spacing w:before="1701" w:after="200"/>
        <w:jc w:val="center"/>
        <w:rPr/>
      </w:pPr>
      <w:r>
        <w:rPr>
          <w:b/>
          <w:color w:val="F59E0B"/>
          <w:sz w:val="20"/>
        </w:rPr>
        <w:t>CADRAGE MATINAL · ARTEFACT 3 SUR 7</w:t>
      </w:r>
    </w:p>
    <w:p>
      <w:pPr>
        <w:pStyle w:val="Normal"/>
        <w:jc w:val="center"/>
        <w:rPr/>
      </w:pPr>
      <w:r>
        <w:rPr>
          <w:b/>
          <w:color w:val="1E1B4B"/>
          <w:sz w:val="64"/>
        </w:rPr>
        <w:t>Customer Journey Maps</w:t>
      </w:r>
    </w:p>
    <w:p>
      <w:pPr>
        <w:pStyle w:val="Normal"/>
        <w:spacing w:before="170" w:after="200"/>
        <w:jc w:val="center"/>
        <w:rPr/>
      </w:pPr>
      <w:r>
        <w:rPr>
          <w:i/>
          <w:color w:val="475569"/>
          <w:sz w:val="26"/>
        </w:rPr>
        <w:t>Les 3 parcours utilisateurs d'EduTutor IA, étape par étape</w:t>
      </w:r>
    </w:p>
    <w:p>
      <w:pPr>
        <w:pStyle w:val="Normal"/>
        <w:spacing w:before="3969" w:after="200"/>
        <w:jc w:val="center"/>
        <w:rPr/>
      </w:pPr>
      <w:r>
        <w:rPr>
          <w:b/>
          <w:color w:val="475569"/>
          <w:sz w:val="22"/>
        </w:rPr>
        <w:t>Projet EduTutor IA · Édition 2026 · Semaine immersive Scrum</w:t>
      </w:r>
    </w:p>
    <w:p>
      <w:pPr>
        <w:pStyle w:val="Normal"/>
        <w:spacing w:before="113" w:after="200"/>
        <w:jc w:val="center"/>
        <w:rPr/>
      </w:pPr>
      <w:r>
        <w:rPr>
          <w:i/>
          <w:color w:val="475569"/>
          <w:sz w:val="18"/>
        </w:rPr>
        <w:t>Auteur : Mohamed Amine EL AFRIT · Licence CC BY-NC-SA 4.0</w:t>
      </w:r>
    </w:p>
    <w:p>
      <w:pPr>
        <w:pStyle w:val="Normal"/>
        <w:rPr/>
      </w:pPr>
      <w:r>
        <w:rPr/>
      </w:r>
      <w:r>
        <w:br w:type="page"/>
      </w:r>
    </w:p>
    <w:p>
      <w:pPr>
        <w:pStyle w:val="Normal"/>
        <w:spacing w:before="283" w:after="200"/>
        <w:rPr/>
      </w:pPr>
      <w:r>
        <w:rPr>
          <w:b/>
          <w:color w:val="F59E0B"/>
          <w:sz w:val="22"/>
        </w:rPr>
        <w:t>IDENTIFICATION DU DOCUMENT</w:t>
      </w:r>
    </w:p>
    <w:p>
      <w:pPr>
        <w:pStyle w:val="Normal"/>
        <w:rPr/>
      </w:pPr>
      <w:r>
        <w:rPr>
          <w:i/>
          <w:color w:val="475569"/>
          <w:sz w:val="20"/>
        </w:rPr>
        <w:t>À compléter par l'équipe avant chaque remise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F8FAFC"/>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1E1B4B"/>
                <w:kern w:val="0"/>
                <w:sz w:val="22"/>
                <w:szCs w:val="22"/>
                <w:lang w:val="en-US" w:eastAsia="en-US" w:bidi="ar-SA"/>
              </w:rPr>
              <w:t>Équipe n°</w:t>
            </w:r>
          </w:p>
        </w:tc>
        <w:tc>
          <w:tcPr>
            <w:tcW w:w="4319" w:type="dxa"/>
            <w:tcBorders>
              <w:bottom w:val="single" w:sz="18" w:space="0" w:color="4F81BD"/>
            </w:tcBorders>
          </w:tcPr>
          <w:p>
            <w:pPr>
              <w:pStyle w:val="Normal"/>
              <w:widowControl w:val="false"/>
              <w:suppressAutoHyphens w:val="true"/>
              <w:spacing w:lineRule="auto" w:line="240" w:before="0" w:after="0"/>
              <w:jc w:val="left"/>
              <w:rPr>
                <w:rFonts w:ascii="Calibri" w:hAnsi="Calibri" w:eastAsia="ＭＳ ゴシック"/>
                <w:b/>
                <w:b/>
                <w:bCs/>
                <w:kern w:val="0"/>
                <w:sz w:val="22"/>
                <w:szCs w:val="22"/>
                <w:lang w:val="en-US" w:eastAsia="en-US" w:bidi="ar-SA"/>
              </w:rPr>
            </w:pPr>
            <w:r>
              <w:rPr>
                <w:rFonts w:eastAsia="ＭＳ ゴシック" w:cs="" w:ascii="Calibri" w:hAnsi="Calibri"/>
                <w:b/>
                <w:bCs/>
                <w:kern w:val="0"/>
                <w:sz w:val="22"/>
                <w:szCs w:val="22"/>
                <w:lang w:val="en-US" w:eastAsia="en-US" w:bidi="ar-SA"/>
              </w:rPr>
              <w:t>29</w:t>
            </w:r>
          </w:p>
        </w:tc>
      </w:tr>
      <w:tr>
        <w:trPr/>
        <w:tc>
          <w:tcPr>
            <w:tcW w:w="4320" w:type="dxa"/>
            <w:tcBorders/>
            <w:shd w:fill="F8FAFC"/>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1E1B4B"/>
                <w:kern w:val="0"/>
                <w:sz w:val="22"/>
                <w:szCs w:val="22"/>
                <w:lang w:val="en-US" w:eastAsia="en-US" w:bidi="ar-SA"/>
              </w:rPr>
              <w:t>Membres</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ascii="Arial" w:hAnsi="Arial" w:eastAsia="ＭＳ 明朝"/>
                <w:b w:val="false"/>
                <w:b w:val="false"/>
                <w:i w:val="false"/>
                <w:i w:val="false"/>
                <w:caps w:val="false"/>
                <w:smallCaps w:val="false"/>
                <w:color w:val="000000"/>
                <w:spacing w:val="0"/>
                <w:kern w:val="0"/>
                <w:sz w:val="20"/>
                <w:szCs w:val="22"/>
                <w:lang w:val="en-US" w:eastAsia="en-US" w:bidi="ar-SA"/>
              </w:rPr>
            </w:pPr>
            <w:r>
              <w:rPr>
                <w:rFonts w:eastAsia="ＭＳ 明朝" w:cs="" w:ascii="Arial" w:hAnsi="Arial"/>
                <w:b w:val="false"/>
                <w:i w:val="false"/>
                <w:caps w:val="false"/>
                <w:smallCaps w:val="false"/>
                <w:color w:val="000000"/>
                <w:spacing w:val="0"/>
                <w:kern w:val="0"/>
                <w:sz w:val="20"/>
                <w:szCs w:val="22"/>
                <w:lang w:val="en-US" w:eastAsia="en-US" w:bidi="ar-SA"/>
              </w:rPr>
              <w:t>Aurélie DEMURE</w:t>
            </w:r>
          </w:p>
        </w:tc>
      </w:tr>
      <w:tr>
        <w:trPr/>
        <w:tc>
          <w:tcPr>
            <w:tcW w:w="4320" w:type="dxa"/>
            <w:tcBorders/>
            <w:shd w:fill="F8FAFC"/>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1E1B4B"/>
                <w:kern w:val="0"/>
                <w:sz w:val="22"/>
                <w:szCs w:val="22"/>
                <w:lang w:val="en-US" w:eastAsia="en-US" w:bidi="ar-SA"/>
              </w:rPr>
              <w:t>Sprint concerné</w:t>
            </w:r>
          </w:p>
        </w:tc>
        <w:tc>
          <w:tcPr>
            <w:tcW w:w="4319" w:type="dxa"/>
            <w:tcBorders/>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Cadrage</w:t>
            </w:r>
          </w:p>
        </w:tc>
      </w:tr>
      <w:tr>
        <w:trPr/>
        <w:tc>
          <w:tcPr>
            <w:tcW w:w="4320" w:type="dxa"/>
            <w:tcBorders/>
            <w:shd w:fill="F8FAFC"/>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1E1B4B"/>
                <w:kern w:val="0"/>
                <w:sz w:val="22"/>
                <w:szCs w:val="22"/>
                <w:lang w:val="en-US" w:eastAsia="en-US" w:bidi="ar-SA"/>
              </w:rPr>
              <w:t>Version</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 (initiale)</w:t>
            </w:r>
          </w:p>
        </w:tc>
      </w:tr>
      <w:tr>
        <w:trPr/>
        <w:tc>
          <w:tcPr>
            <w:tcW w:w="4320" w:type="dxa"/>
            <w:tcBorders/>
            <w:shd w:fill="F8FAFC"/>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1E1B4B"/>
                <w:kern w:val="0"/>
                <w:sz w:val="22"/>
                <w:szCs w:val="22"/>
                <w:lang w:val="en-US" w:eastAsia="en-US" w:bidi="ar-SA"/>
              </w:rPr>
              <w:t>Date de remise</w:t>
            </w:r>
          </w:p>
        </w:tc>
        <w:tc>
          <w:tcPr>
            <w:tcW w:w="4319" w:type="dxa"/>
            <w:tcBorders/>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29/06/2026 13h00</w:t>
            </w:r>
          </w:p>
        </w:tc>
      </w:tr>
      <w:tr>
        <w:trPr/>
        <w:tc>
          <w:tcPr>
            <w:tcW w:w="4320" w:type="dxa"/>
            <w:tcBorders/>
            <w:shd w:fill="F8FAFC"/>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1E1B4B"/>
                <w:kern w:val="0"/>
                <w:sz w:val="22"/>
                <w:szCs w:val="22"/>
                <w:lang w:val="en-US" w:eastAsia="en-US" w:bidi="ar-SA"/>
              </w:rPr>
              <w:t>Statut</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Draft</w:t>
            </w:r>
          </w:p>
        </w:tc>
      </w:tr>
    </w:tbl>
    <w:p>
      <w:pPr>
        <w:pStyle w:val="Normal"/>
        <w:spacing w:before="283" w:after="200"/>
        <w:rPr/>
      </w:pPr>
      <w:r>
        <w:rPr>
          <w:b/>
          <w:color w:val="F59E0B"/>
          <w:sz w:val="18"/>
        </w:rPr>
        <w:t xml:space="preserve">💡 </w:t>
      </w:r>
      <w:r>
        <w:rPr>
          <w:b/>
          <w:color w:val="F59E0B"/>
          <w:sz w:val="18"/>
        </w:rPr>
        <w:t xml:space="preserve">Convention de nommage du fichier : </w:t>
      </w:r>
      <w:r>
        <w:rPr>
          <w:i/>
          <w:color w:val="475569"/>
          <w:sz w:val="18"/>
        </w:rPr>
        <w:t>equipe-XX-nom-document-vY.Z.docx  (ex. equipe-03-persona-v1.0.docx)</w:t>
      </w:r>
    </w:p>
    <w:p>
      <w:pPr>
        <w:pStyle w:val="Normal"/>
        <w:rPr/>
      </w:pPr>
      <w:r>
        <w:rPr/>
      </w:r>
      <w:r>
        <w:br w:type="page"/>
      </w:r>
    </w:p>
    <w:p>
      <w:pPr>
        <w:pStyle w:val="Normal"/>
        <w:rPr/>
      </w:pPr>
      <w:r>
        <w:rPr>
          <w:b/>
          <w:color w:val="1E1B4B"/>
          <w:sz w:val="36"/>
        </w:rPr>
        <w:t>Table des matières</w:t>
      </w:r>
    </w:p>
    <w:p>
      <w:pPr>
        <w:pStyle w:val="Normal"/>
        <w:rPr/>
      </w:pPr>
      <w:r>
        <w:rPr>
          <w:i/>
          <w:color w:val="475569"/>
          <w:sz w:val="18"/>
        </w:rPr>
        <w:t xml:space="preserve">👉 </w:t>
      </w:r>
      <w:r>
        <w:rPr>
          <w:i/>
          <w:color w:val="475569"/>
          <w:sz w:val="18"/>
        </w:rPr>
        <w:t>Une fois le document complété, faites clic droit sur la table ci-dessous puis « Mettre à jour les champs » (ou touche F9) pour générer les liens.</w:t>
      </w:r>
    </w:p>
    <w:sdt>
      <w:sdtPr>
        <w:docPartObj>
          <w:docPartGallery w:val="Table of Contents"/>
          <w:docPartUnique w:val="true"/>
        </w:docPartObj>
      </w:sdtPr>
      <w:sdtContent>
        <w:p>
          <w:pPr>
            <w:pStyle w:val="Contents1"/>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91383_610055533">
            <w:r>
              <w:rPr>
                <w:webHidden/>
                <w:rStyle w:val="IndexLink"/>
                <w:vanish w:val="false"/>
              </w:rPr>
              <w:t>Pourquoi cet artefact ?</w:t>
              <w:tab/>
              <w:t>4</w:t>
            </w:r>
          </w:hyperlink>
        </w:p>
        <w:p>
          <w:pPr>
            <w:pStyle w:val="Contents1"/>
            <w:rPr/>
          </w:pPr>
          <w:hyperlink w:anchor="__RefHeading___Toc91385_610055533">
            <w:r>
              <w:rPr>
                <w:webHidden/>
                <w:rStyle w:val="IndexLink"/>
                <w:vanish w:val="false"/>
              </w:rPr>
              <w:t>1. Persona 1 - Léa Martin, étudiante en révision avant examen</w:t>
              <w:tab/>
              <w:t>4</w:t>
            </w:r>
          </w:hyperlink>
        </w:p>
        <w:p>
          <w:pPr>
            <w:pStyle w:val="Contents1"/>
            <w:rPr/>
          </w:pPr>
          <w:hyperlink w:anchor="__RefHeading___Toc91387_610055533">
            <w:r>
              <w:rPr>
                <w:webHidden/>
                <w:rStyle w:val="IndexLink"/>
                <w:vanish w:val="false"/>
              </w:rPr>
              <w:t>2. Persona 2 - Nassim Benali, étudiant régulier mais désorganisé</w:t>
              <w:tab/>
              <w:t>5</w:t>
            </w:r>
          </w:hyperlink>
        </w:p>
        <w:p>
          <w:pPr>
            <w:pStyle w:val="Contents1"/>
            <w:rPr/>
          </w:pPr>
          <w:hyperlink w:anchor="__RefHeading___Toc91389_610055533">
            <w:r>
              <w:rPr>
                <w:webHidden/>
                <w:rStyle w:val="IndexLink"/>
                <w:vanish w:val="false"/>
              </w:rPr>
              <w:t>3. Persona 3 - Mme Bernard, responsable d'établissement</w:t>
              <w:tab/>
              <w:t>6</w:t>
            </w:r>
          </w:hyperlink>
        </w:p>
        <w:p>
          <w:pPr>
            <w:pStyle w:val="Contents1"/>
            <w:rPr/>
          </w:pPr>
          <w:hyperlink w:anchor="__RefHeading___Toc91391_610055533">
            <w:r>
              <w:rPr>
                <w:webHidden/>
                <w:rStyle w:val="IndexLink"/>
                <w:vanish w:val="false"/>
              </w:rPr>
              <w:t>4. Heatmap émotionnelle des 3 personas</w:t>
              <w:tab/>
              <w:t>7</w:t>
            </w:r>
          </w:hyperlink>
        </w:p>
        <w:p>
          <w:pPr>
            <w:pStyle w:val="Contents1"/>
            <w:rPr/>
          </w:pPr>
          <w:hyperlink w:anchor="__RefHeading___Toc91393_610055533">
            <w:r>
              <w:rPr>
                <w:webHidden/>
                <w:rStyle w:val="IndexLink"/>
                <w:vanish w:val="false"/>
              </w:rPr>
              <w:t xml:space="preserve">✅ </w:t>
            </w:r>
            <w:r>
              <w:rPr>
                <w:rStyle w:val="IndexLink"/>
              </w:rPr>
              <w:t>Grille d'auto-évaluation</w:t>
              <w:tab/>
              <w:t>9</w:t>
            </w:r>
          </w:hyperlink>
        </w:p>
        <w:p>
          <w:pPr>
            <w:pStyle w:val="Contents1"/>
            <w:rPr/>
          </w:pPr>
          <w:hyperlink w:anchor="__RefHeading___Toc91395_610055533">
            <w:r>
              <w:rPr>
                <w:webHidden/>
                <w:rStyle w:val="IndexLink"/>
                <w:vanish w:val="false"/>
              </w:rPr>
              <w:t xml:space="preserve">📚 </w:t>
            </w:r>
            <w:r>
              <w:rPr>
                <w:rStyle w:val="IndexLink"/>
              </w:rPr>
              <w:t>Références et conventions</w:t>
              <w:tab/>
              <w:t>10</w:t>
            </w:r>
          </w:hyperlink>
        </w:p>
        <w:p>
          <w:pPr>
            <w:pStyle w:val="Contents2"/>
            <w:tabs>
              <w:tab w:val="clear" w:pos="10661"/>
              <w:tab w:val="right" w:pos="10944" w:leader="dot"/>
            </w:tabs>
            <w:rPr/>
          </w:pPr>
          <w:hyperlink w:anchor="__RefHeading___Toc91397_610055533">
            <w:r>
              <w:rPr>
                <w:webHidden/>
                <w:rStyle w:val="IndexLink"/>
                <w:vanish w:val="false"/>
              </w:rPr>
              <w:t>Références incontournables</w:t>
              <w:tab/>
              <w:t>10</w:t>
            </w:r>
          </w:hyperlink>
        </w:p>
        <w:p>
          <w:pPr>
            <w:pStyle w:val="Contents2"/>
            <w:tabs>
              <w:tab w:val="clear" w:pos="10661"/>
              <w:tab w:val="right" w:pos="10944" w:leader="dot"/>
            </w:tabs>
            <w:rPr/>
          </w:pPr>
          <w:hyperlink w:anchor="__RefHeading___Toc91399_610055533">
            <w:r>
              <w:rPr>
                <w:webHidden/>
                <w:rStyle w:val="IndexLink"/>
                <w:vanish w:val="false"/>
              </w:rPr>
              <w:t>Références spécifiques à ce document</w:t>
              <w:tab/>
              <w:t>10</w:t>
            </w:r>
          </w:hyperlink>
        </w:p>
        <w:p>
          <w:pPr>
            <w:pStyle w:val="Contents2"/>
            <w:tabs>
              <w:tab w:val="clear" w:pos="10661"/>
              <w:tab w:val="right" w:pos="10944" w:leader="dot"/>
            </w:tabs>
            <w:rPr/>
          </w:pPr>
          <w:hyperlink w:anchor="__RefHeading___Toc91401_610055533">
            <w:r>
              <w:rPr>
                <w:webHidden/>
                <w:rStyle w:val="IndexLink"/>
                <w:vanish w:val="false"/>
              </w:rPr>
              <w:t>Convention de versionnement</w:t>
              <w:tab/>
              <w:t>10</w:t>
            </w:r>
          </w:hyperlink>
          <w:r>
            <w:rPr>
              <w:rStyle w:val="IndexLink"/>
              <w:vanish w:val="false"/>
            </w:rPr>
            <w:fldChar w:fldCharType="end"/>
          </w:r>
        </w:p>
      </w:sdtContent>
    </w:sdt>
    <w:p>
      <w:pPr>
        <w:pStyle w:val="Normal"/>
        <w:widowControl/>
        <w:bidi w:val="0"/>
        <w:spacing w:lineRule="auto" w:line="276" w:before="0" w:after="200"/>
        <w:jc w:val="left"/>
        <w:rPr/>
      </w:pPr>
      <w:r>
        <w:rPr/>
      </w:r>
      <w:r>
        <w:br w:type="page"/>
      </w:r>
    </w:p>
    <w:p>
      <w:pPr>
        <w:pStyle w:val="Normal"/>
        <w:rPr/>
      </w:pPr>
      <w:r>
        <w:rPr>
          <w:b/>
          <w:color w:val="F59E0B"/>
          <w:sz w:val="18"/>
        </w:rPr>
        <w:t>PRÉAMBULE</w:t>
      </w:r>
    </w:p>
    <w:p>
      <w:pPr>
        <w:pStyle w:val="Heading1"/>
        <w:rPr/>
      </w:pPr>
      <w:bookmarkStart w:id="0" w:name="__RefHeading___Toc91383_610055533"/>
      <w:bookmarkEnd w:id="0"/>
      <w:r>
        <w:rPr>
          <w:color w:val="1E1B4B"/>
        </w:rPr>
        <w:t>Pourquoi cet artefact ?</w:t>
      </w:r>
    </w:p>
    <w:p>
      <w:pPr>
        <w:pStyle w:val="Normal"/>
        <w:rPr/>
      </w:pPr>
      <w:r>
        <w:rPr/>
        <w:t>Le Customer Journey Map raconte le parcours d'une persona étape par étape. À chaque étape, on note ses actions concrètes, ses pensées (formulées au « je »), son émotion dominante (échelle 😡 -&gt; 😐 -&gt; 😊), et les frictions ou opportunités produit. Le journey map sert à repérer le moment exact où la persona décroche, c'est là que le produit doit briller en priorité.</w:t>
      </w:r>
    </w:p>
    <w:p>
      <w:pPr>
        <w:pStyle w:val="Normal"/>
        <w:rPr/>
      </w:pPr>
      <w:r>
        <w:rPr/>
        <w:t>Ce document propose 3 parcours construits autour de 3 personas distincts, conformément à la consigne : Léa, étudiante en révision avant examen ; Nassim, étudiant régulier mais désorganisé ; Mme Bernard, responsable d'établissement. Chaque parcours suit 5 étapes de Découverte à Recommandation/Renouvellement et décrit les actions, pensées, émotions, frictions et opportunités produit. Aucun parcours dédié à l'enseignant n'est inclus dans cette version.</w:t>
      </w:r>
    </w:p>
    <w:p>
      <w:pPr>
        <w:pStyle w:val="Normal"/>
        <w:ind w:left="283" w:right="283" w:hanging="0"/>
        <w:rPr/>
      </w:pPr>
      <w:r>
        <w:rPr>
          <w:b/>
          <w:color w:val="F59E0B"/>
        </w:rPr>
        <w:t xml:space="preserve">💡 </w:t>
      </w:r>
      <w:r>
        <w:rPr>
          <w:b/>
          <w:color w:val="F59E0B"/>
        </w:rPr>
        <w:t xml:space="preserve">Mode d'emploi </w:t>
      </w:r>
      <w:r>
        <w:rPr>
          <w:i/>
        </w:rPr>
        <w:t>Travaillez sur grand format si possible : étalez les 5 étapes en colonnes au mur (post-it ou tableau blanc) avant de remplir le modèle Word. Le journey map vit mieux en mode collaboratif que devant un écran solo.</w:t>
      </w:r>
    </w:p>
    <w:p>
      <w:pPr>
        <w:pStyle w:val="Heading1"/>
        <w:rPr/>
      </w:pPr>
      <w:bookmarkStart w:id="1" w:name="__RefHeading___Toc91385_610055533"/>
      <w:bookmarkEnd w:id="1"/>
      <w:r>
        <w:rPr>
          <w:color w:val="1E1B4B"/>
        </w:rPr>
        <w:t>1. Persona 1 - Léa Martin, étudiante en révision avant examen</w:t>
      </w:r>
    </w:p>
    <w:p>
      <w:pPr>
        <w:pStyle w:val="Normal"/>
        <w:spacing w:before="57" w:after="200"/>
        <w:ind w:left="227" w:right="227" w:hanging="0"/>
        <w:rPr>
          <w:b/>
          <w:b/>
          <w:color w:val="DC2626"/>
          <w:sz w:val="18"/>
        </w:rPr>
      </w:pPr>
      <w:r>
        <w:rPr>
          <w:b/>
          <w:color w:val="DC2626"/>
          <w:sz w:val="18"/>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Étape</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Actions</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Pensées (au « je »)</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Émotion</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Frictions / Opportunités</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1. Découverte</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Léa découvre EduTutor IA via un camarade de promo ou une communication autour d'un outil de révision basé sur l'IA. Elle comprend qu'elle peut transformer un cours en quiz.</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J'ai un examen bientôt. Si je peux transformer mon cours en quiz rapidement, ça peut m'aider à savoir où j'en suis.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Curieuse, mais prudente</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la promesse IA peut sembler vague ou trop belle pour être vraie.</w:t>
              <w:br/>
              <w:t>💡 Opportunité : expliquer dès l'accueil le parcours simple : importer un cours -&gt; générer 10 QCM -&gt; obtenir un score et les corrections.</w:t>
            </w:r>
          </w:p>
        </w:tc>
      </w:tr>
      <w:tr>
        <w:trPr/>
        <w:tc>
          <w:tcPr>
            <w:tcW w:w="1728"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2. Inscription</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crée un compte avec son email, accepte les conditions d'utilisation et arrive sur son espace personnel.</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veux que l'inscription soit rapide, et je veux être rassurée sur ce que deviennent mes cours importés. »</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Vigilante</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formulaire trop long, règles de mot de passe peu claires ou manque d'information sur les données.</w:t>
              <w:br/>
              <w:t>💡 Opportunité : message court sur la confidentialité, l'hébergement local et l'absence d'envoi des cours à un service externe.</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3. Première utilisation</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importe un PDF ou colle un texte de cours, puis lance la génération automatique de 10 QCM.</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Est-ce que l'IA va vraiment utiliser mon cours, ou inventer des questions qui n'ont rien à voir ?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Anxieuse -&gt; 😊 rassurée</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attente sans retour visuel, PDF trop lourd, génération lente ou erreur silencieuse.</w:t>
              <w:br/>
              <w:t>💡 Opportunité : afficher les étapes en cours : import, lecture du document, génération, vérification, quiz prêt.</w:t>
            </w:r>
          </w:p>
        </w:tc>
      </w:tr>
      <w:tr>
        <w:trPr/>
        <w:tc>
          <w:tcPr>
            <w:tcW w:w="1728"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4. Usage régulier</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répond au quiz, consulte son score /10, regarde les bonnes et mauvaises réponses, puis repère les notions à revoir.</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vois tout de suite ce que je maîtrise et ce que je dois retravailler avant l'examen. »</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Satisfaite et motivée</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corrections trop courtes ou absence de lien avec le cours.</w:t>
              <w:br/>
              <w:t>💡 Opportunité : afficher le détail des réponses et, si possible, le chapitre ou l'extrait du cours associé.</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5. Recommandation / Abandon</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réutilise l'outil sur un autre cours ou en parle à son groupe de révision si le premier résultat est convaincant.</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Si ça marche aussi sur mes autres matières, je vais l'utiliser avant chaque examen et le recommander.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Confiance si le résultat est fiable</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qualité variable selon le format du document ou absence de conseil sur l'import.</w:t>
              <w:br/>
              <w:t>💡 Opportunité : proposer des conseils de préparation du cours et conserver l'historique pour faciliter la prochaine session.</w:t>
            </w:r>
          </w:p>
        </w:tc>
      </w:tr>
    </w:tbl>
    <w:p>
      <w:pPr>
        <w:pStyle w:val="Normal"/>
        <w:rPr/>
      </w:pPr>
      <w:r>
        <w:rPr>
          <w:b/>
        </w:rPr>
        <w:t xml:space="preserve">Moment de décrochage potentiel identifié : </w:t>
      </w:r>
      <w:r>
        <w:rPr>
          <w:b w:val="false"/>
          <w:bCs w:val="false"/>
        </w:rPr>
        <w:t>Étape 3 (Première utilisation), si le PDF ne s'importe pas, si la génération prend trop longtemps ou si les questions semblent déconnectées du cours. Investissement prioritaire : feedback visuel clair, message d'attente rassurant, indication que les QCM sont générés à partir du document fourni et résultat de quiz fiable.</w:t>
      </w:r>
    </w:p>
    <w:p>
      <w:pPr>
        <w:pStyle w:val="Heading1"/>
        <w:rPr/>
      </w:pPr>
      <w:bookmarkStart w:id="2" w:name="__RefHeading___Toc91387_610055533"/>
      <w:bookmarkEnd w:id="2"/>
      <w:r>
        <w:rPr>
          <w:color w:val="1E1B4B"/>
        </w:rPr>
        <w:t>2. Persona 2 - Nassim Benali, étudiant régulier mais désorganisé</w:t>
      </w:r>
    </w:p>
    <w:p>
      <w:pPr>
        <w:pStyle w:val="Normal"/>
        <w:spacing w:before="57" w:after="200"/>
        <w:ind w:left="227" w:right="227" w:hanging="0"/>
        <w:rPr/>
      </w:pPr>
      <w:r>
        <w:rPr>
          <w:b/>
          <w:color w:val="F59E0B"/>
          <w:sz w:val="18"/>
        </w:rPr>
        <w: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Étape</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Actions</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Pensées (au « je »)</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Émotion</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Frictions / Opportunités</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1. Découverte</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Nassim découvre EduTutor IA parce qu'il cherche une méthode pour ne plus réviser uniquement au dernier moment.</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révise souvent trop tard. Il me faudrait un outil qui m'aide à structurer mes révisions semaine après semaine.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Intéressé</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il peut penser que c'est seulement un générateur de quiz ponctuel.</w:t>
              <w:br/>
              <w:t>💡 Opportunité : montrer dès le départ la valeur de l'historique, des scores et de la progression.</w:t>
            </w:r>
          </w:p>
        </w:tc>
      </w:tr>
      <w:tr>
        <w:trPr/>
        <w:tc>
          <w:tcPr>
            <w:tcW w:w="1728"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2. Inscription / Retour</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Il se connecte à son espace personnel, retrouve ses cours déjà importés ou ajoute un nouveau support.</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ne veux pas repartir de zéro à chaque fois. Je veux retrouver mes anciens quiz facilement. »</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Exigeant</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tableau de bord confus, anciens quiz difficiles à retrouver.</w:t>
              <w:br/>
              <w:t>💡 Opportunité : classer les quiz par cours, date, score et statut terminé / à refaire.</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3. Entraînement</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Il génère plusieurs quiz sur différents chapitres, refait certains quiz et compare ses résultats.</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veux savoir si je progresse vraiment, pas seulement obtenir une note une fois.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Concentré -&gt; 😊 encouragé</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absence de comparaison entre les tentatives ou scores dispersés.</w:t>
              <w:br/>
              <w:t>💡 Opportunité : afficher l'évolution des scores par cours et signaler les chapitres qui restent faibles.</w:t>
            </w:r>
          </w:p>
        </w:tc>
      </w:tr>
      <w:tr>
        <w:trPr/>
        <w:tc>
          <w:tcPr>
            <w:tcW w:w="1728"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4. Usage régulier</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Avant chaque séance de révision, il consulte l'historique, priorise les cours où son score est faible et refait un quiz ciblé.</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gagne du temps parce que je révise directement mes points faibles au lieu de relire tout le cours. »</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Motivé</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historique incomplet ou pas assez lisible pour décider quoi réviser.</w:t>
              <w:br/>
              <w:t>💡 Opportunité : filtres par cours, date, score, tentative et bouton 'refaire un quiz'.</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5. Recommandation / Fidélisation</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Il intègre EduTutor IA dans sa routine de révision et en parle à son groupe de travail.</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C'est devenu mon outil de suivi, pas juste un test IA. On pourrait même réviser ensemble avec les mêmes quiz.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Fidèle et confiant</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pas encore de partage de quiz entre étudiants.</w:t>
              <w:br/>
              <w:t>💡 Opportunité : prévoir en Release 2 une option de partage ou de session de révision commune.</w:t>
            </w:r>
          </w:p>
        </w:tc>
      </w:tr>
    </w:tbl>
    <w:p>
      <w:pPr>
        <w:pStyle w:val="Normal"/>
        <w:rPr/>
      </w:pPr>
      <w:r>
        <w:rPr>
          <w:b/>
        </w:rPr>
        <w:t xml:space="preserve">Moment de décrochage potentiel identifié : </w:t>
      </w:r>
      <w:r>
        <w:rPr>
          <w:b w:val="false"/>
          <w:bCs w:val="false"/>
        </w:rPr>
        <w:t>Étape 4 (Usage régulier), si l'historique est incomplet, difficile à filtrer ou si Nassim ne voit pas sa progression. Investissement prioritaire : historique clair par cours, score visible, comparaison entre tentatives et possibilité de refaire un quiz ciblé.</w:t>
      </w:r>
    </w:p>
    <w:p>
      <w:pPr>
        <w:pStyle w:val="Heading1"/>
        <w:rPr/>
      </w:pPr>
      <w:bookmarkStart w:id="3" w:name="__RefHeading___Toc91389_610055533"/>
      <w:bookmarkEnd w:id="3"/>
      <w:r>
        <w:rPr>
          <w:color w:val="1E1B4B"/>
        </w:rPr>
        <w:t>3. Persona 3 - Mme Bernard, responsable d'établissement</w:t>
      </w:r>
    </w:p>
    <w:p>
      <w:pPr>
        <w:pStyle w:val="Normal"/>
        <w:spacing w:before="57" w:after="200"/>
        <w:ind w:left="227" w:right="227" w:hanging="0"/>
        <w:rPr>
          <w:b/>
          <w:b/>
          <w:color w:val="DC2626"/>
          <w:sz w:val="18"/>
        </w:rPr>
      </w:pPr>
      <w:r>
        <w:rPr>
          <w:b/>
          <w:color w:val="DC2626"/>
          <w:sz w:val="18"/>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Étape</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Actions</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Pensées (au « je »)</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Émotion</w:t>
            </w:r>
          </w:p>
        </w:tc>
        <w:tc>
          <w:tcPr>
            <w:tcW w:w="1728"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Frictions / Opportunités</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1. Découverte du besoin</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Mme Bernard identifie le besoin d'encadrer les usages IA dans l'établissement tout en proposant un outil utile aux étudiants.</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Nous devons accompagner les étudiants dans l'usage de l'IA, mais sans exposer les données académiques.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Sous pression</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méfiance envers les outils IA cloud et difficulté à distinguer les solutions conformes.</w:t>
              <w:br/>
              <w:t>💡 Opportunité : positionner EduTutor IA comme local-first, centré sur les cours fournis et pensé pour le cadre scolaire.</w:t>
            </w:r>
          </w:p>
        </w:tc>
      </w:tr>
      <w:tr>
        <w:trPr/>
        <w:tc>
          <w:tcPr>
            <w:tcW w:w="1728"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2. Évaluation</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analyse le dossier RGPD, le mode d'hébergement, le coût par élève, le périmètre du pilote et l'intégration possible au SI existant.</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Si la conformité, l'hébergement et le budget ne sont pas clairs, je ne peux pas prendre le risque. »</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Méticuleuse</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garanties RGPD, architecture ou tarification insuffisamment documentées.</w:t>
              <w:br/>
              <w:t>💡 Opportunité : fournir une fiche conformité, un schéma d'architecture et une proposition de pilote limitée.</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3. Décision</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compare EduTutor IA à d'autres solutions, valide un pilote sur un périmètre réduit et définit les indicateurs de succès.</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Un pilote limité me permet de tester la valeur réelle sans engager tout l'établissement immédiatement.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Prudente -&gt; 😊 rassurée</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budget contraint et peur d'un faible taux d'adoption.</w:t>
              <w:br/>
              <w:t>💡 Opportunité : proposer un coût prévisible, un périmètre d'essai et des KPI simples : utilisateurs actifs, quiz générés, scores consultés.</w:t>
            </w:r>
          </w:p>
        </w:tc>
      </w:tr>
      <w:tr>
        <w:trPr/>
        <w:tc>
          <w:tcPr>
            <w:tcW w:w="1728"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4. Déploiement</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organise le lancement, communique aux étudiants, suit les premiers usages et vérifie que le support technique reste simple.</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Si le lancement est compliqué, l'adoption sera faible, même si l'outil est utile. »</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Attentive</w:t>
            </w:r>
          </w:p>
        </w:tc>
        <w:tc>
          <w:tcPr>
            <w:tcW w:w="1728"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besoin d'accompagnement au démarrage et risque de blocages techniques.</w:t>
              <w:br/>
              <w:t>💡 Opportunité : kit de lancement, tutoriel court, FAQ et tableau de bord de suivi.</w:t>
            </w:r>
          </w:p>
        </w:tc>
      </w:tr>
      <w:tr>
        <w:trPr/>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5. Renouvellement</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Elle analyse les indicateurs d'usage et de satisfaction pour décider de prolonger, élargir ou arrêter le dispositif.</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Je dois pouvoir justifier que l'outil apporte une vraie valeur pédagogique et qu'il respecte nos contraintes. »</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Confiante si les KPI sont positifs</w:t>
            </w:r>
          </w:p>
        </w:tc>
        <w:tc>
          <w:tcPr>
            <w:tcW w:w="1728"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Friction : reporting insuffisant ou absence de preuves d'usage.</w:t>
              <w:br/>
              <w:t>💡 Opportunité : rapport synthétique d'adoption, export des indicateurs et bilan du pilote.</w:t>
            </w:r>
          </w:p>
        </w:tc>
      </w:tr>
    </w:tbl>
    <w:p>
      <w:pPr>
        <w:pStyle w:val="Normal"/>
        <w:rPr/>
      </w:pPr>
      <w:r>
        <w:rPr>
          <w:b/>
        </w:rPr>
        <w:t xml:space="preserve">Moment de décrochage potentiel identifié : </w:t>
      </w:r>
      <w:r>
        <w:rPr>
          <w:b w:val="false"/>
          <w:bCs w:val="false"/>
        </w:rPr>
        <w:t>Étape 2 (Évaluation), si les garanties RGPD, l'hébergement local, le périmètre du pilote ou le budget ne sont pas clairement documentés. Investissement prioritaire : fiche de conformité, schéma d'architecture, modèle tarifaire simple et critères de succès du pilote.</w:t>
      </w:r>
    </w:p>
    <w:p>
      <w:pPr>
        <w:pStyle w:val="Heading1"/>
        <w:rPr/>
      </w:pPr>
      <w:bookmarkStart w:id="4" w:name="__RefHeading___Toc91391_610055533"/>
      <w:bookmarkEnd w:id="4"/>
      <w:r>
        <w:rPr>
          <w:color w:val="1E1B4B"/>
        </w:rPr>
        <w:t>4. Heatmap émotionnelle des 3 personas</w:t>
      </w:r>
    </w:p>
    <w:p>
      <w:pPr>
        <w:pStyle w:val="Normal"/>
        <w:spacing w:before="57" w:after="200"/>
        <w:ind w:left="227" w:right="227" w:hanging="0"/>
        <w:rPr>
          <w:b/>
          <w:b/>
          <w:color w:val="DC2626"/>
          <w:sz w:val="18"/>
        </w:rPr>
      </w:pPr>
      <w:r>
        <w:rPr>
          <w:b/>
          <w:color w:val="DC2626"/>
          <w:sz w:val="18"/>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Étape</w:t>
            </w:r>
          </w:p>
        </w:tc>
        <w:tc>
          <w:tcPr>
            <w:tcW w:w="2160"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Léa Martin</w:t>
              <w:br/>
              <w:t>Étudiante en révision</w:t>
            </w:r>
          </w:p>
        </w:tc>
        <w:tc>
          <w:tcPr>
            <w:tcW w:w="2160"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Nassim Benali</w:t>
              <w:br/>
              <w:t>Étudiant régulier</w:t>
            </w:r>
          </w:p>
        </w:tc>
        <w:tc>
          <w:tcPr>
            <w:tcW w:w="2159" w:type="dxa"/>
            <w:tcBorders>
              <w:bottom w:val="single" w:sz="18" w:space="0" w:color="4F81BD"/>
            </w:tcBorders>
            <w:shd w:fill="D9EAF7"/>
          </w:tcPr>
          <w:p>
            <w:pPr>
              <w:pStyle w:val="Normal"/>
              <w:widowControl w:val="false"/>
              <w:suppressAutoHyphens w:val="true"/>
              <w:spacing w:lineRule="auto" w:line="240" w:before="0" w:after="20"/>
              <w:jc w:val="left"/>
              <w:rPr>
                <w:rFonts w:ascii="Calibri" w:hAnsi="Calibri" w:eastAsia="ＭＳ ゴシック" w:cs=""/>
                <w:bCs/>
                <w:kern w:val="0"/>
                <w:szCs w:val="22"/>
                <w:lang w:val="en-US" w:eastAsia="en-US" w:bidi="ar-SA"/>
              </w:rPr>
            </w:pPr>
            <w:r>
              <w:rPr>
                <w:rFonts w:eastAsia="ＭＳ ゴシック" w:cs="" w:ascii="Calibri" w:hAnsi="Calibri"/>
                <w:b/>
                <w:bCs/>
                <w:kern w:val="0"/>
                <w:sz w:val="16"/>
                <w:szCs w:val="22"/>
                <w:lang w:val="en-US" w:eastAsia="en-US" w:bidi="ar-SA"/>
              </w:rPr>
              <w:t>Mme Bernard</w:t>
              <w:br/>
              <w:t>Responsable d'établissement</w:t>
            </w:r>
          </w:p>
        </w:tc>
      </w:tr>
      <w:tr>
        <w:trPr/>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1. Découverte / Besoin</w:t>
            </w:r>
          </w:p>
        </w:tc>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Curieuse, prudente</w:t>
            </w:r>
          </w:p>
        </w:tc>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Intéressé</w:t>
            </w:r>
          </w:p>
        </w:tc>
        <w:tc>
          <w:tcPr>
            <w:tcW w:w="2159"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Sous pression</w:t>
            </w:r>
          </w:p>
        </w:tc>
      </w:tr>
      <w:tr>
        <w:trPr/>
        <w:tc>
          <w:tcPr>
            <w:tcW w:w="2160"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2. Inscription / Évaluation</w:t>
            </w:r>
          </w:p>
        </w:tc>
        <w:tc>
          <w:tcPr>
            <w:tcW w:w="2160"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Vigilante</w:t>
            </w:r>
          </w:p>
        </w:tc>
        <w:tc>
          <w:tcPr>
            <w:tcW w:w="2160"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Exigeant</w:t>
            </w:r>
          </w:p>
        </w:tc>
        <w:tc>
          <w:tcPr>
            <w:tcW w:w="2159"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Méticuleuse</w:t>
            </w:r>
          </w:p>
        </w:tc>
      </w:tr>
      <w:tr>
        <w:trPr/>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3. Première utilisation / Décision</w:t>
            </w:r>
          </w:p>
        </w:tc>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-&gt; 😊 Rassurée</w:t>
            </w:r>
          </w:p>
        </w:tc>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-&gt; 😊 Encouragé</w:t>
            </w:r>
          </w:p>
        </w:tc>
        <w:tc>
          <w:tcPr>
            <w:tcW w:w="2159"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-&gt; 😊 Rassurée</w:t>
            </w:r>
          </w:p>
        </w:tc>
      </w:tr>
      <w:tr>
        <w:trPr/>
        <w:tc>
          <w:tcPr>
            <w:tcW w:w="2160" w:type="dxa"/>
            <w:tcBorders/>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4. Usage régulier / Déploiement</w:t>
            </w:r>
          </w:p>
        </w:tc>
        <w:tc>
          <w:tcPr>
            <w:tcW w:w="2160"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Satisfaite</w:t>
            </w:r>
          </w:p>
        </w:tc>
        <w:tc>
          <w:tcPr>
            <w:tcW w:w="2160"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Motivé</w:t>
            </w:r>
          </w:p>
        </w:tc>
        <w:tc>
          <w:tcPr>
            <w:tcW w:w="2159" w:type="dxa"/>
            <w:tcBorders/>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Attentive</w:t>
            </w:r>
          </w:p>
        </w:tc>
      </w:tr>
      <w:tr>
        <w:trPr/>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5"/>
                <w:szCs w:val="22"/>
                <w:lang w:val="en-US" w:eastAsia="en-US" w:bidi="ar-SA"/>
              </w:rPr>
              <w:t>5. Recommandation / Renouvellement</w:t>
            </w:r>
          </w:p>
        </w:tc>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Confiance</w:t>
            </w:r>
          </w:p>
        </w:tc>
        <w:tc>
          <w:tcPr>
            <w:tcW w:w="2160"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Fidèle</w:t>
            </w:r>
          </w:p>
        </w:tc>
        <w:tc>
          <w:tcPr>
            <w:tcW w:w="2159" w:type="dxa"/>
            <w:tcBorders/>
            <w:shd w:color="auto" w:fill="D3DFEE" w:themeFill="accent1" w:themeFillTint="3f" w:val="clear"/>
          </w:tcPr>
          <w:p>
            <w:pPr>
              <w:pStyle w:val="Normal"/>
              <w:widowControl w:val="false"/>
              <w:suppressAutoHyphens w:val="true"/>
              <w:spacing w:lineRule="auto" w:line="240" w:before="0" w:after="20"/>
              <w:jc w:val="left"/>
              <w:rPr>
                <w:rFonts w:ascii="Cambria" w:hAnsi="Cambria" w:eastAsia="ＭＳ 明朝" w:cs=""/>
                <w:kern w:val="0"/>
                <w:szCs w:val="22"/>
                <w:lang w:val="en-US" w:eastAsia="en-US" w:bidi="ar-SA"/>
              </w:rPr>
            </w:pPr>
            <w:r>
              <w:rPr>
                <w:rFonts w:eastAsia="ＭＳ 明朝" w:cs=""/>
                <w:kern w:val="0"/>
                <w:sz w:val="15"/>
                <w:szCs w:val="22"/>
                <w:lang w:val="en-US" w:eastAsia="en-US" w:bidi="ar-SA"/>
              </w:rPr>
              <w:t xml:space="preserve">😊 </w:t>
            </w:r>
            <w:r>
              <w:rPr>
                <w:rFonts w:eastAsia="ＭＳ 明朝" w:cs=""/>
                <w:kern w:val="0"/>
                <w:sz w:val="15"/>
                <w:szCs w:val="22"/>
                <w:lang w:val="en-US" w:eastAsia="en-US" w:bidi="ar-SA"/>
              </w:rPr>
              <w:t>Confiante si KPI positifs</w:t>
            </w:r>
          </w:p>
        </w:tc>
      </w:tr>
    </w:tbl>
    <w:p>
      <w:pPr>
        <w:pStyle w:val="Normal"/>
        <w:rPr/>
      </w:pPr>
      <w:r>
        <w:rPr>
          <w:b/>
        </w:rPr>
        <w:t xml:space="preserve">Investissement produit prioritaire : </w:t>
      </w:r>
      <w:r>
        <w:rPr>
          <w:b w:val="false"/>
          <w:bCs w:val="false"/>
        </w:rPr>
        <w:t>sécuriser les étapes 2 et 3. Côté étudiants, l'inscription, l'import du cours et la génération du premier quiz conditionnent la confiance. Côté établissement, l'évaluation RGPD, l'hébergement local et le coût prévisible conditionnent la décision. Ces points doivent être visibles dans le MVP et documentés dès le cadrage.</w:t>
      </w:r>
    </w:p>
    <w:p>
      <w:pPr>
        <w:pStyle w:val="Normal"/>
        <w:rPr/>
      </w:pPr>
      <w:r>
        <w:rPr/>
      </w:r>
      <w:r>
        <w:br w:type="page"/>
      </w:r>
    </w:p>
    <w:p>
      <w:pPr>
        <w:pStyle w:val="Heading1"/>
        <w:rPr/>
      </w:pPr>
      <w:bookmarkStart w:id="5" w:name="__RefHeading___Toc91393_610055533"/>
      <w:bookmarkEnd w:id="5"/>
      <w:r>
        <w:rPr>
          <w:color w:val="1E1B4B"/>
        </w:rPr>
        <w:t xml:space="preserve">✅ </w:t>
      </w:r>
      <w:r>
        <w:rPr>
          <w:color w:val="1E1B4B"/>
        </w:rPr>
        <w:t>Grille d'auto-évaluation</w:t>
      </w:r>
    </w:p>
    <w:p>
      <w:pPr>
        <w:pStyle w:val="Normal"/>
        <w:rPr/>
      </w:pPr>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2551"/>
        <w:gridCol w:w="2835"/>
      </w:tblGrid>
      <w:tr>
        <w:trPr/>
        <w:tc>
          <w:tcPr>
            <w:tcW w:w="4252" w:type="dxa"/>
            <w:tcBorders>
              <w:bottom w:val="single" w:sz="18" w:space="0" w:color="4F81BD"/>
            </w:tcBorders>
            <w:shd w:fill="1E1B4B"/>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FFFFFF"/>
                <w:kern w:val="0"/>
                <w:sz w:val="22"/>
                <w:szCs w:val="22"/>
                <w:lang w:val="en-US" w:eastAsia="en-US" w:bidi="ar-SA"/>
              </w:rPr>
              <w:t>Critère qualité</w:t>
            </w:r>
          </w:p>
        </w:tc>
        <w:tc>
          <w:tcPr>
            <w:tcW w:w="2551" w:type="dxa"/>
            <w:tcBorders>
              <w:bottom w:val="single" w:sz="18" w:space="0" w:color="4F81BD"/>
            </w:tcBorders>
            <w:shd w:fill="1E1B4B"/>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FFFFFF"/>
                <w:kern w:val="0"/>
                <w:sz w:val="22"/>
                <w:szCs w:val="22"/>
                <w:lang w:val="en-US" w:eastAsia="en-US" w:bidi="ar-SA"/>
              </w:rPr>
              <w:t>Auto-évaluation</w:t>
            </w:r>
          </w:p>
        </w:tc>
        <w:tc>
          <w:tcPr>
            <w:tcW w:w="2835" w:type="dxa"/>
            <w:tcBorders>
              <w:bottom w:val="single" w:sz="18" w:space="0" w:color="4F81BD"/>
            </w:tcBorders>
            <w:shd w:fill="1E1B4B"/>
          </w:tcPr>
          <w:p>
            <w:pPr>
              <w:pStyle w:val="Normal"/>
              <w:widowControl w:val="false"/>
              <w:suppressAutoHyphens w:val="true"/>
              <w:spacing w:lineRule="auto" w:line="240" w:before="0" w:after="0"/>
              <w:jc w:val="left"/>
              <w:rPr>
                <w:rFonts w:ascii="Calibri" w:hAnsi="Calibri" w:eastAsia="ＭＳ ゴシック" w:cs=""/>
                <w:bCs/>
                <w:kern w:val="0"/>
                <w:sz w:val="22"/>
                <w:szCs w:val="22"/>
                <w:lang w:val="en-US" w:eastAsia="en-US" w:bidi="ar-SA"/>
              </w:rPr>
            </w:pPr>
            <w:r>
              <w:rPr>
                <w:rFonts w:eastAsia="ＭＳ ゴシック" w:cs="" w:ascii="Calibri" w:hAnsi="Calibri"/>
                <w:b/>
                <w:bCs/>
                <w:color w:val="FFFFFF"/>
                <w:kern w:val="0"/>
                <w:sz w:val="22"/>
                <w:szCs w:val="22"/>
                <w:lang w:val="en-US" w:eastAsia="en-US" w:bidi="ar-SA"/>
              </w:rPr>
              <w:t>Commentaire / preuve</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Les 3 parcours sont décrits sur les 5 étapes (Découverte -&gt; Recommandation/Renouvellement)</w:t>
            </w:r>
          </w:p>
        </w:tc>
        <w:tc>
          <w:tcPr>
            <w:tcW w:w="2551" w:type="dxa"/>
            <w:tcBorders/>
            <w:shd w:color="auto" w:fill="D3DFEE" w:themeFill="accent1" w:themeFillTint="3f" w:val="clear"/>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les parcours suivent bien 5 étapes de Découverte à Recommandation/Renouvellement.</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Chaque cellule "Actions" contient une action concrète et observable (pas un concept vague)</w:t>
            </w:r>
          </w:p>
        </w:tc>
        <w:tc>
          <w:tcPr>
            <w:tcW w:w="2551" w:type="dxa"/>
            <w:tcBorders/>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actions observables : inscription, import, génération, consultation, pilote, déploiement.</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Chaque cellule "Pensées" est formulée au « je », entre guillemets</w:t>
            </w:r>
          </w:p>
        </w:tc>
        <w:tc>
          <w:tcPr>
            <w:tcW w:w="2551" w:type="dxa"/>
            <w:tcBorders/>
            <w:shd w:color="auto" w:fill="D3DFEE" w:themeFill="accent1" w:themeFillTint="3f" w:val="clear"/>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pensées rédigées à la première personne et entre guillemets.</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Chaque cellule "Émotion" utilise l'échelle 😡 -&gt; 😐 -&gt; 😊 (au moins 1 transition par parcours)</w:t>
            </w:r>
          </w:p>
        </w:tc>
        <w:tc>
          <w:tcPr>
            <w:tcW w:w="2551" w:type="dxa"/>
            <w:tcBorders/>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échelle 😡 -&gt; 😐 -&gt; 😊 utilisée, avec au moins une transition par persona.</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Chaque cellule "Frictions/Opportunités" identifie au moins 1 friction ET 1 opportunité</w:t>
            </w:r>
          </w:p>
        </w:tc>
        <w:tc>
          <w:tcPr>
            <w:tcW w:w="2551" w:type="dxa"/>
            <w:tcBorders/>
            <w:shd w:color="auto" w:fill="D3DFEE" w:themeFill="accent1" w:themeFillTint="3f" w:val="clear"/>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chaque étape contient une friction concrète et une opportunité produit exploitable.</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Le moment de décrochage potentiel est explicitement identifié pour chaque parcours</w:t>
            </w:r>
          </w:p>
        </w:tc>
        <w:tc>
          <w:tcPr>
            <w:tcW w:w="2551" w:type="dxa"/>
            <w:tcBorders/>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décrochage identifié après chaque parcours, avec investissement prioritaire associé.</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La synthèse émotionnelle (heatmap) repère le bon "point de levier produit"</w:t>
            </w:r>
          </w:p>
        </w:tc>
        <w:tc>
          <w:tcPr>
            <w:tcW w:w="2551" w:type="dxa"/>
            <w:tcBorders/>
            <w:shd w:color="auto" w:fill="D3DFEE" w:themeFill="accent1" w:themeFillTint="3f" w:val="clear"/>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heatmap 3 personas × 5 étapes, avec point de levier sur étapes 2 et 3.</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Le parcours "Établissement" reflète bien un cycle d'achat B2B (et pas un usage)</w:t>
            </w:r>
          </w:p>
        </w:tc>
        <w:tc>
          <w:tcPr>
            <w:tcW w:w="2551" w:type="dxa"/>
            <w:tcBorders/>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 - le parcours Mme Bernard correspond à un cycle B2B : besoin, évaluation, décision, déploiement, renouvellement.</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16"/>
                <w:szCs w:val="22"/>
                <w:lang w:val="en-US" w:eastAsia="en-US" w:bidi="ar-SA"/>
              </w:rPr>
              <w:t>Le document a été relu et validé par l'équipe complète (toutes les voix entendues)</w:t>
            </w:r>
          </w:p>
        </w:tc>
        <w:tc>
          <w:tcPr>
            <w:tcW w:w="2551" w:type="dxa"/>
            <w:tcBorders/>
            <w:shd w:color="auto" w:fill="D3DFEE" w:themeFill="accent1" w:themeFillTint="3f" w:val="clear"/>
          </w:tcPr>
          <w:p>
            <w:pPr>
              <w:pStyle w:val="Normal"/>
              <w:widowControl w:val="false"/>
              <w:suppressAutoHyphens w:val="true"/>
              <w:spacing w:lineRule="auto" w:line="240" w:before="0" w:after="4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 xml:space="preserve">☒ </w:t>
            </w:r>
            <w:r>
              <w:rPr>
                <w:rFonts w:eastAsia="ＭＳ 明朝" w:cs=""/>
                <w:b w:val="false"/>
                <w:kern w:val="0"/>
                <w:sz w:val="16"/>
                <w:szCs w:val="22"/>
                <w:lang w:val="en-US" w:eastAsia="en-US" w:bidi="ar-SA"/>
              </w:rPr>
              <w:t>Oui   ☐ Partiel   ☐ Non</w:t>
            </w:r>
          </w:p>
        </w:tc>
        <w:tc>
          <w:tcPr>
            <w:tcW w:w="2835" w:type="dxa"/>
            <w:tcBorders/>
            <w:shd w:color="auto" w:fill="D3DFEE" w:themeFill="accent1" w:themeFillTint="3f" w:val="clea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kern w:val="0"/>
                <w:sz w:val="16"/>
                <w:szCs w:val="22"/>
                <w:lang w:val="en-US" w:eastAsia="en-US" w:bidi="ar-SA"/>
              </w:rPr>
              <w:t>Oui</w:t>
            </w:r>
          </w:p>
        </w:tc>
      </w:tr>
    </w:tbl>
    <w:p>
      <w:pPr>
        <w:pStyle w:val="Normal"/>
        <w:rPr/>
      </w:pPr>
      <w:r>
        <w:rPr/>
      </w:r>
      <w:r>
        <w:br w:type="page"/>
      </w:r>
    </w:p>
    <w:p>
      <w:pPr>
        <w:pStyle w:val="Heading1"/>
        <w:rPr/>
      </w:pPr>
      <w:bookmarkStart w:id="6" w:name="__RefHeading___Toc91395_610055533"/>
      <w:bookmarkEnd w:id="6"/>
      <w:r>
        <w:rPr>
          <w:color w:val="1E1B4B"/>
        </w:rPr>
        <w:t xml:space="preserve">📚 </w:t>
      </w:r>
      <w:r>
        <w:rPr>
          <w:color w:val="1E1B4B"/>
        </w:rPr>
        <w:t>Références et conventions</w:t>
      </w:r>
    </w:p>
    <w:p>
      <w:pPr>
        <w:pStyle w:val="Heading2"/>
        <w:rPr/>
      </w:pPr>
      <w:bookmarkStart w:id="7" w:name="__RefHeading___Toc91397_610055533"/>
      <w:bookmarkEnd w:id="7"/>
      <w:r>
        <w:rPr>
          <w:color w:val="1E1B4B"/>
        </w:rPr>
        <w:t>Références incontournables</w:t>
      </w:r>
    </w:p>
    <w:p>
      <w:pPr>
        <w:pStyle w:val="Normal"/>
        <w:rPr/>
      </w:pPr>
      <w:r>
        <w:rPr>
          <w:b/>
        </w:rPr>
        <w:t xml:space="preserve">• </w:t>
      </w:r>
      <w:r>
        <w:rPr>
          <w:b/>
        </w:rPr>
        <w:t xml:space="preserve">Cours Agile/Scrum (Mohamed EL AFRIT) : </w:t>
      </w:r>
      <w:r>
        <w:rPr/>
        <w:t>mohamedelafrit.com/teaching/Master_Classe_Agile/cours.html</w:t>
      </w:r>
    </w:p>
    <w:p>
      <w:pPr>
        <w:pStyle w:val="Normal"/>
        <w:rPr/>
      </w:pPr>
      <w:r>
        <w:rPr>
          <w:b/>
        </w:rPr>
        <w:t xml:space="preserve">• </w:t>
      </w:r>
      <w:r>
        <w:rPr>
          <w:b/>
        </w:rPr>
        <w:t xml:space="preserve">Scrum Guide officiel FR : </w:t>
      </w:r>
      <w:r>
        <w:rPr/>
        <w:t>scrumguides.org/docs/scrumguide/v2020/2020-Scrum-Guide-French.pdf</w:t>
      </w:r>
    </w:p>
    <w:p>
      <w:pPr>
        <w:pStyle w:val="Normal"/>
        <w:rPr/>
      </w:pPr>
      <w:r>
        <w:rPr>
          <w:b/>
        </w:rPr>
        <w:t xml:space="preserve">• </w:t>
      </w:r>
      <w:r>
        <w:rPr>
          <w:b/>
        </w:rPr>
        <w:t xml:space="preserve">Site APOCAL'IPSSI : </w:t>
      </w:r>
      <w:r>
        <w:rPr/>
        <w:t>mohamedelafrit.com/teaching/APOCALIPSSI</w:t>
      </w:r>
    </w:p>
    <w:p>
      <w:pPr>
        <w:pStyle w:val="Heading2"/>
        <w:rPr/>
      </w:pPr>
      <w:bookmarkStart w:id="8" w:name="__RefHeading___Toc91399_610055533"/>
      <w:bookmarkEnd w:id="8"/>
      <w:r>
        <w:rPr>
          <w:color w:val="1E1B4B"/>
        </w:rPr>
        <w:t>Références spécifiques à ce document</w:t>
      </w:r>
    </w:p>
    <w:p>
      <w:pPr>
        <w:pStyle w:val="Normal"/>
        <w:rPr/>
      </w:pPr>
      <w:r>
        <w:rPr>
          <w:b/>
        </w:rPr>
        <w:t xml:space="preserve">• </w:t>
      </w:r>
      <w:r>
        <w:rPr>
          <w:b/>
        </w:rPr>
        <w:t xml:space="preserve">Nielsen Norman Group, Customer Journey Maps guide : </w:t>
      </w:r>
      <w:r>
        <w:rPr/>
        <w:t>https://www.nngroup.com/articles/customer-journey-mapping/</w:t>
      </w:r>
    </w:p>
    <w:p>
      <w:pPr>
        <w:pStyle w:val="Normal"/>
        <w:rPr/>
      </w:pPr>
      <w:r>
        <w:rPr>
          <w:b/>
        </w:rPr>
        <w:t xml:space="preserve">• </w:t>
      </w:r>
      <w:r>
        <w:rPr>
          <w:b/>
        </w:rPr>
        <w:t xml:space="preserve">Smaply, Journey Mapping toolkit : </w:t>
      </w:r>
      <w:r>
        <w:rPr/>
        <w:t>https://www.smaply.com/journey-mapping</w:t>
      </w:r>
    </w:p>
    <w:p>
      <w:pPr>
        <w:pStyle w:val="Normal"/>
        <w:rPr/>
      </w:pPr>
      <w:r>
        <w:rPr>
          <w:b/>
        </w:rPr>
        <w:t xml:space="preserve">• </w:t>
      </w:r>
      <w:r>
        <w:rPr>
          <w:b/>
        </w:rPr>
        <w:t xml:space="preserve">Article, AARRR framework pour produits : </w:t>
      </w:r>
      <w:r>
        <w:rPr/>
        <w:t>https://www.product-frameworks.com/AARRR-Framework.html</w:t>
      </w:r>
    </w:p>
    <w:p>
      <w:pPr>
        <w:pStyle w:val="Normal"/>
        <w:rPr/>
      </w:pPr>
      <w:r>
        <w:rPr>
          <w:b/>
        </w:rPr>
        <w:t xml:space="preserve">• </w:t>
      </w:r>
      <w:r>
        <w:rPr>
          <w:b/>
        </w:rPr>
        <w:t xml:space="preserve">Roman Pichler, Customer journey vs Product journey : </w:t>
      </w:r>
      <w:r>
        <w:rPr/>
        <w:t>https://www.romanpichler.com/blog/persona-template-product-managers/</w:t>
      </w:r>
    </w:p>
    <w:p>
      <w:pPr>
        <w:pStyle w:val="Heading2"/>
        <w:rPr/>
      </w:pPr>
      <w:bookmarkStart w:id="9" w:name="__RefHeading___Toc91401_610055533"/>
      <w:bookmarkEnd w:id="9"/>
      <w:r>
        <w:rPr>
          <w:color w:val="1E1B4B"/>
        </w:rPr>
        <w:t>Convention de versionnement</w:t>
      </w:r>
    </w:p>
    <w:p>
      <w:pPr>
        <w:pStyle w:val="ListBullet"/>
        <w:numPr>
          <w:ilvl w:val="0"/>
          <w:numId w:val="1"/>
        </w:numPr>
        <w:rPr/>
      </w:pPr>
      <w:r>
        <w:rPr/>
        <w:t xml:space="preserve">• </w:t>
      </w:r>
      <w:r>
        <w:rPr/>
        <w:t>v1.0, version initiale produite lors du cadrage matinal</w:t>
      </w:r>
    </w:p>
    <w:p>
      <w:pPr>
        <w:pStyle w:val="ListBullet"/>
        <w:numPr>
          <w:ilvl w:val="0"/>
          <w:numId w:val="1"/>
        </w:numPr>
        <w:rPr/>
      </w:pPr>
      <w:r>
        <w:rPr/>
        <w:t xml:space="preserve">• </w:t>
      </w:r>
      <w:r>
        <w:rPr/>
        <w:t>v1.1, v1.2, révisions mineures (typo, ajout d'item) après revue PO</w:t>
      </w:r>
    </w:p>
    <w:p>
      <w:pPr>
        <w:pStyle w:val="ListBullet"/>
        <w:numPr>
          <w:ilvl w:val="0"/>
          <w:numId w:val="1"/>
        </w:numPr>
        <w:rPr/>
      </w:pPr>
      <w:r>
        <w:rPr/>
        <w:t xml:space="preserve">• </w:t>
      </w:r>
      <w:r>
        <w:rPr/>
        <w:t>v2.0, révision majeure suite à une perturbation (changement de scope)</w:t>
      </w:r>
    </w:p>
    <w:p>
      <w:pPr>
        <w:pStyle w:val="ListBullet"/>
        <w:numPr>
          <w:ilvl w:val="0"/>
          <w:numId w:val="1"/>
        </w:numPr>
        <w:rPr/>
      </w:pPr>
      <w:r>
        <w:rPr/>
        <w:t xml:space="preserve">• </w:t>
      </w:r>
      <w:r>
        <w:rPr/>
        <w:t>Chaque version est commitée séparément avec message Git explicite</w:t>
      </w:r>
    </w:p>
    <w:p>
      <w:pPr>
        <w:pStyle w:val="ListBullet"/>
        <w:numPr>
          <w:ilvl w:val="0"/>
          <w:numId w:val="1"/>
        </w:numPr>
        <w:spacing w:before="0" w:after="200"/>
        <w:contextualSpacing/>
        <w:rPr/>
      </w:pPr>
      <w:r>
        <w:rPr/>
        <w:t xml:space="preserve">• </w:t>
      </w:r>
      <w:r>
        <w:rPr/>
        <w:t>Le statut « Validé PO » nécessite une trace écrite (commentaire, mail, Teams)</w:t>
      </w:r>
    </w:p>
    <w:sectPr>
      <w:footerReference w:type="default" r:id="rId2"/>
      <w:type w:val="nextPage"/>
      <w:pgSz w:w="12240" w:h="15840"/>
      <w:pgMar w:left="648" w:right="648" w:gutter="0" w:header="0" w:top="792" w:footer="720" w:bottom="79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Mohamed Amine EL AFRIT · APOCAL'IPSSI 2026 · CC BY-NC-SA 4.0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ntents1">
    <w:name w:val="TOC 1"/>
    <w:basedOn w:val="Index"/>
    <w:pPr>
      <w:tabs>
        <w:tab w:val="clear" w:pos="720"/>
        <w:tab w:val="right" w:pos="10944" w:leader="dot"/>
      </w:tabs>
      <w:ind w:left="0" w:hanging="0"/>
    </w:pPr>
    <w:rPr/>
  </w:style>
  <w:style w:type="paragraph" w:styleId="Contents2">
    <w:name w:val="TOC 2"/>
    <w:basedOn w:val="Index"/>
    <w:pPr>
      <w:tabs>
        <w:tab w:val="clear" w:pos="720"/>
        <w:tab w:val="right" w:pos="10661"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Application>LibreOffice/7.3.7.2$Linux_X86_64 LibreOffice_project/30$Build-2</Application>
  <AppVersion>15.0000</AppVersion>
  <Pages>9</Pages>
  <Words>2275</Words>
  <Characters>12112</Characters>
  <CharactersWithSpaces>14208</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Equipe 00</dc:creator>
  <dc:description>Version exemple remplie à partir du Product Vision Board, sans parcours enseignant.</dc:description>
  <dc:language>en-US</dc:language>
  <cp:lastModifiedBy/>
  <dcterms:modified xsi:type="dcterms:W3CDTF">2026-06-29T17:02:25Z</dcterms:modified>
  <cp:revision>4</cp:revision>
  <dc:subject>Artefact 3 sur 7 - Cadrage</dc:subject>
  <dc:title>Customer Journey Maps - EduTutor IA</dc:title>
</cp:coreProperties>
</file>

<file path=docProps/custom.xml><?xml version="1.0" encoding="utf-8"?>
<Properties xmlns="http://schemas.openxmlformats.org/officeDocument/2006/custom-properties" xmlns:vt="http://schemas.openxmlformats.org/officeDocument/2006/docPropsVTypes"/>
</file>