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139F3" w14:textId="77777777" w:rsidR="00E83433" w:rsidRDefault="00000000" w:rsidP="00DF0689">
      <w:pPr>
        <w:spacing w:after="200"/>
      </w:pPr>
      <w:r>
        <w:rPr>
          <w:b/>
          <w:bCs/>
          <w:color w:val="1F3864"/>
          <w:sz w:val="44"/>
          <w:szCs w:val="44"/>
        </w:rPr>
        <w:t>Politique de rétention des données personnelles</w:t>
      </w:r>
    </w:p>
    <w:p w14:paraId="7DF3E65D" w14:textId="77777777" w:rsidR="00E83433" w:rsidRDefault="00000000">
      <w:pPr>
        <w:spacing w:after="160"/>
      </w:pPr>
      <w:r>
        <w:t xml:space="preserve">La présente politique définit les règles de conservation des données personnelles traitées par la plateforme </w:t>
      </w:r>
      <w:proofErr w:type="spellStart"/>
      <w:r>
        <w:t>EduTutor</w:t>
      </w:r>
      <w:proofErr w:type="spellEnd"/>
      <w:r>
        <w:t xml:space="preserve"> IA (génération de quiz assistée par IA à partir de contenus de cours). Elle précise, pour chaque catégorie de données, la durée de conservation, la finalité du traitement et la base juridique associée (article 6 du RGPD), ainsi que les procédures de suppression applicables.</w:t>
      </w:r>
    </w:p>
    <w:p w14:paraId="10D9712E" w14:textId="77777777" w:rsidR="00E83433" w:rsidRDefault="00000000">
      <w:pPr>
        <w:pStyle w:val="Titre1"/>
        <w:spacing w:before="400" w:after="200"/>
      </w:pPr>
      <w:r>
        <w:rPr>
          <w:b/>
          <w:bCs/>
          <w:color w:val="2E6F95"/>
        </w:rPr>
        <w:t xml:space="preserve">1. </w:t>
      </w:r>
      <w:r>
        <w:rPr>
          <w:b/>
          <w:bCs/>
          <w:color w:val="1F3864"/>
        </w:rPr>
        <w:t>Durées de conservation</w:t>
      </w:r>
    </w:p>
    <w:p w14:paraId="00D79AB3" w14:textId="77777777" w:rsidR="00E83433" w:rsidRDefault="00000000">
      <w:pPr>
        <w:spacing w:after="160"/>
      </w:pPr>
      <w:r>
        <w:t>Les durées de conservation sont définies par catégorie de données, en fonction de leur nature et du risque associé.</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00"/>
        <w:gridCol w:w="3400"/>
        <w:gridCol w:w="1500"/>
      </w:tblGrid>
      <w:tr w:rsidR="00E83433" w14:paraId="4917D4D0"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6A568636" w14:textId="77777777" w:rsidR="00E83433" w:rsidRDefault="00000000">
            <w:r>
              <w:rPr>
                <w:b/>
                <w:bCs/>
                <w:color w:val="FFFFFF"/>
                <w:sz w:val="20"/>
                <w:szCs w:val="20"/>
              </w:rPr>
              <w:t>Catégorie de données</w:t>
            </w:r>
          </w:p>
        </w:tc>
        <w:tc>
          <w:tcPr>
            <w:tcW w:w="2100" w:type="dxa"/>
            <w:shd w:val="clear" w:color="auto" w:fill="1F3864"/>
            <w:tcMar>
              <w:top w:w="100" w:type="dxa"/>
              <w:left w:w="120" w:type="dxa"/>
              <w:bottom w:w="100" w:type="dxa"/>
              <w:right w:w="120" w:type="dxa"/>
            </w:tcMar>
          </w:tcPr>
          <w:p w14:paraId="1467C6DF" w14:textId="77777777" w:rsidR="00E83433" w:rsidRDefault="00000000">
            <w:r>
              <w:rPr>
                <w:b/>
                <w:bCs/>
                <w:color w:val="FFFFFF"/>
                <w:sz w:val="20"/>
                <w:szCs w:val="20"/>
              </w:rPr>
              <w:t>Durée de conservation</w:t>
            </w:r>
          </w:p>
        </w:tc>
        <w:tc>
          <w:tcPr>
            <w:tcW w:w="3400" w:type="dxa"/>
            <w:shd w:val="clear" w:color="auto" w:fill="1F3864"/>
            <w:tcMar>
              <w:top w:w="100" w:type="dxa"/>
              <w:left w:w="120" w:type="dxa"/>
              <w:bottom w:w="100" w:type="dxa"/>
              <w:right w:w="120" w:type="dxa"/>
            </w:tcMar>
          </w:tcPr>
          <w:p w14:paraId="6C45249D" w14:textId="77777777" w:rsidR="00E83433" w:rsidRDefault="00000000">
            <w:r>
              <w:rPr>
                <w:b/>
                <w:bCs/>
                <w:color w:val="FFFFFF"/>
                <w:sz w:val="20"/>
                <w:szCs w:val="20"/>
              </w:rPr>
              <w:t>Justification</w:t>
            </w:r>
          </w:p>
        </w:tc>
        <w:tc>
          <w:tcPr>
            <w:tcW w:w="1500" w:type="dxa"/>
            <w:shd w:val="clear" w:color="auto" w:fill="1F3864"/>
            <w:tcMar>
              <w:top w:w="100" w:type="dxa"/>
              <w:left w:w="120" w:type="dxa"/>
              <w:bottom w:w="100" w:type="dxa"/>
              <w:right w:w="120" w:type="dxa"/>
            </w:tcMar>
          </w:tcPr>
          <w:p w14:paraId="339A7F71" w14:textId="77777777" w:rsidR="00E83433" w:rsidRDefault="00000000">
            <w:r>
              <w:rPr>
                <w:b/>
                <w:bCs/>
                <w:color w:val="FFFFFF"/>
                <w:sz w:val="20"/>
                <w:szCs w:val="20"/>
              </w:rPr>
              <w:t>Base</w:t>
            </w:r>
          </w:p>
        </w:tc>
      </w:tr>
      <w:tr w:rsidR="00E83433" w14:paraId="37AC47E6" w14:textId="77777777">
        <w:tblPrEx>
          <w:tblCellMar>
            <w:top w:w="0" w:type="dxa"/>
            <w:bottom w:w="0" w:type="dxa"/>
          </w:tblCellMar>
        </w:tblPrEx>
        <w:tc>
          <w:tcPr>
            <w:tcW w:w="2400" w:type="dxa"/>
            <w:tcMar>
              <w:top w:w="100" w:type="dxa"/>
              <w:left w:w="120" w:type="dxa"/>
              <w:bottom w:w="100" w:type="dxa"/>
              <w:right w:w="120" w:type="dxa"/>
            </w:tcMar>
          </w:tcPr>
          <w:p w14:paraId="324C0355" w14:textId="77777777" w:rsidR="00E83433" w:rsidRDefault="00000000">
            <w:r>
              <w:rPr>
                <w:b/>
                <w:bCs/>
                <w:sz w:val="20"/>
                <w:szCs w:val="20"/>
              </w:rPr>
              <w:t xml:space="preserve">Compte utilisateur (profil, </w:t>
            </w:r>
            <w:proofErr w:type="gramStart"/>
            <w:r>
              <w:rPr>
                <w:b/>
                <w:bCs/>
                <w:sz w:val="20"/>
                <w:szCs w:val="20"/>
              </w:rPr>
              <w:t>email</w:t>
            </w:r>
            <w:proofErr w:type="gramEnd"/>
            <w:r>
              <w:rPr>
                <w:b/>
                <w:bCs/>
                <w:sz w:val="20"/>
                <w:szCs w:val="20"/>
              </w:rPr>
              <w:t>, préférences)</w:t>
            </w:r>
          </w:p>
        </w:tc>
        <w:tc>
          <w:tcPr>
            <w:tcW w:w="2100" w:type="dxa"/>
            <w:tcMar>
              <w:top w:w="100" w:type="dxa"/>
              <w:left w:w="120" w:type="dxa"/>
              <w:bottom w:w="100" w:type="dxa"/>
              <w:right w:w="120" w:type="dxa"/>
            </w:tcMar>
          </w:tcPr>
          <w:p w14:paraId="2928B091" w14:textId="77777777" w:rsidR="00E83433" w:rsidRDefault="00000000">
            <w:r>
              <w:rPr>
                <w:sz w:val="20"/>
                <w:szCs w:val="20"/>
              </w:rPr>
              <w:t>Durée d'utilisation du service (compte actif)</w:t>
            </w:r>
          </w:p>
        </w:tc>
        <w:tc>
          <w:tcPr>
            <w:tcW w:w="3400" w:type="dxa"/>
            <w:tcMar>
              <w:top w:w="100" w:type="dxa"/>
              <w:left w:w="120" w:type="dxa"/>
              <w:bottom w:w="100" w:type="dxa"/>
              <w:right w:w="120" w:type="dxa"/>
            </w:tcMar>
          </w:tcPr>
          <w:p w14:paraId="190A789B" w14:textId="77777777" w:rsidR="00E83433" w:rsidRDefault="00000000">
            <w:r>
              <w:rPr>
                <w:sz w:val="20"/>
                <w:szCs w:val="20"/>
              </w:rPr>
              <w:t>Nécessaire à l'exécution du service tant que le compte n'est pas supprimé ou inactif</w:t>
            </w:r>
          </w:p>
        </w:tc>
        <w:tc>
          <w:tcPr>
            <w:tcW w:w="1500" w:type="dxa"/>
            <w:tcMar>
              <w:top w:w="100" w:type="dxa"/>
              <w:left w:w="120" w:type="dxa"/>
              <w:bottom w:w="100" w:type="dxa"/>
              <w:right w:w="120" w:type="dxa"/>
            </w:tcMar>
          </w:tcPr>
          <w:p w14:paraId="41C18230" w14:textId="77777777" w:rsidR="00E83433" w:rsidRDefault="00000000">
            <w:r>
              <w:rPr>
                <w:sz w:val="20"/>
                <w:szCs w:val="20"/>
              </w:rPr>
              <w:t>Art. 6.</w:t>
            </w:r>
            <w:proofErr w:type="gramStart"/>
            <w:r>
              <w:rPr>
                <w:sz w:val="20"/>
                <w:szCs w:val="20"/>
              </w:rPr>
              <w:t>1.b</w:t>
            </w:r>
            <w:proofErr w:type="gramEnd"/>
          </w:p>
        </w:tc>
      </w:tr>
      <w:tr w:rsidR="00E83433" w14:paraId="6DF56175" w14:textId="77777777">
        <w:tblPrEx>
          <w:tblCellMar>
            <w:top w:w="0" w:type="dxa"/>
            <w:bottom w:w="0" w:type="dxa"/>
          </w:tblCellMar>
        </w:tblPrEx>
        <w:tc>
          <w:tcPr>
            <w:tcW w:w="2400" w:type="dxa"/>
            <w:shd w:val="clear" w:color="auto" w:fill="EAF1F5"/>
            <w:tcMar>
              <w:top w:w="100" w:type="dxa"/>
              <w:left w:w="120" w:type="dxa"/>
              <w:bottom w:w="100" w:type="dxa"/>
              <w:right w:w="120" w:type="dxa"/>
            </w:tcMar>
          </w:tcPr>
          <w:p w14:paraId="674F21F0" w14:textId="77777777" w:rsidR="00E83433" w:rsidRDefault="00000000">
            <w:r>
              <w:rPr>
                <w:b/>
                <w:bCs/>
                <w:sz w:val="20"/>
                <w:szCs w:val="20"/>
              </w:rPr>
              <w:t>Logs techniques et d'usage (connexions, requêtes API, événements applicatifs)</w:t>
            </w:r>
          </w:p>
        </w:tc>
        <w:tc>
          <w:tcPr>
            <w:tcW w:w="2100" w:type="dxa"/>
            <w:shd w:val="clear" w:color="auto" w:fill="EAF1F5"/>
            <w:tcMar>
              <w:top w:w="100" w:type="dxa"/>
              <w:left w:w="120" w:type="dxa"/>
              <w:bottom w:w="100" w:type="dxa"/>
              <w:right w:w="120" w:type="dxa"/>
            </w:tcMar>
          </w:tcPr>
          <w:p w14:paraId="61D5D6CB" w14:textId="77777777" w:rsidR="00E83433" w:rsidRDefault="00000000">
            <w:r>
              <w:rPr>
                <w:sz w:val="20"/>
                <w:szCs w:val="20"/>
              </w:rPr>
              <w:t>12 mois glissants</w:t>
            </w:r>
          </w:p>
        </w:tc>
        <w:tc>
          <w:tcPr>
            <w:tcW w:w="3400" w:type="dxa"/>
            <w:shd w:val="clear" w:color="auto" w:fill="EAF1F5"/>
            <w:tcMar>
              <w:top w:w="100" w:type="dxa"/>
              <w:left w:w="120" w:type="dxa"/>
              <w:bottom w:w="100" w:type="dxa"/>
              <w:right w:w="120" w:type="dxa"/>
            </w:tcMar>
          </w:tcPr>
          <w:p w14:paraId="639E0515" w14:textId="77777777" w:rsidR="00E83433" w:rsidRDefault="00000000">
            <w:r>
              <w:rPr>
                <w:sz w:val="20"/>
                <w:szCs w:val="20"/>
              </w:rPr>
              <w:t>Durée maximale recommandée par la CNIL pour les logs de sécurité et de connexion</w:t>
            </w:r>
          </w:p>
        </w:tc>
        <w:tc>
          <w:tcPr>
            <w:tcW w:w="1500" w:type="dxa"/>
            <w:shd w:val="clear" w:color="auto" w:fill="EAF1F5"/>
            <w:tcMar>
              <w:top w:w="100" w:type="dxa"/>
              <w:left w:w="120" w:type="dxa"/>
              <w:bottom w:w="100" w:type="dxa"/>
              <w:right w:w="120" w:type="dxa"/>
            </w:tcMar>
          </w:tcPr>
          <w:p w14:paraId="4035E094" w14:textId="77777777" w:rsidR="00E83433" w:rsidRDefault="00000000">
            <w:r>
              <w:rPr>
                <w:sz w:val="20"/>
                <w:szCs w:val="20"/>
              </w:rPr>
              <w:t>Art. 6.</w:t>
            </w:r>
            <w:proofErr w:type="gramStart"/>
            <w:r>
              <w:rPr>
                <w:sz w:val="20"/>
                <w:szCs w:val="20"/>
              </w:rPr>
              <w:t>1.f</w:t>
            </w:r>
            <w:proofErr w:type="gramEnd"/>
          </w:p>
        </w:tc>
      </w:tr>
      <w:tr w:rsidR="00E83433" w14:paraId="6581AF10" w14:textId="77777777">
        <w:tblPrEx>
          <w:tblCellMar>
            <w:top w:w="0" w:type="dxa"/>
            <w:bottom w:w="0" w:type="dxa"/>
          </w:tblCellMar>
        </w:tblPrEx>
        <w:tc>
          <w:tcPr>
            <w:tcW w:w="2400" w:type="dxa"/>
            <w:tcMar>
              <w:top w:w="100" w:type="dxa"/>
              <w:left w:w="120" w:type="dxa"/>
              <w:bottom w:w="100" w:type="dxa"/>
              <w:right w:w="120" w:type="dxa"/>
            </w:tcMar>
          </w:tcPr>
          <w:p w14:paraId="79A8C195" w14:textId="77777777" w:rsidR="00E83433" w:rsidRDefault="00000000">
            <w:r>
              <w:rPr>
                <w:b/>
                <w:bCs/>
                <w:sz w:val="20"/>
                <w:szCs w:val="20"/>
              </w:rPr>
              <w:t>Signalements (contenus, abus, litiges utilisateurs)</w:t>
            </w:r>
          </w:p>
        </w:tc>
        <w:tc>
          <w:tcPr>
            <w:tcW w:w="2100" w:type="dxa"/>
            <w:tcMar>
              <w:top w:w="100" w:type="dxa"/>
              <w:left w:w="120" w:type="dxa"/>
              <w:bottom w:w="100" w:type="dxa"/>
              <w:right w:w="120" w:type="dxa"/>
            </w:tcMar>
          </w:tcPr>
          <w:p w14:paraId="5A17698A" w14:textId="77777777" w:rsidR="00E83433" w:rsidRDefault="00000000">
            <w:r>
              <w:rPr>
                <w:sz w:val="20"/>
                <w:szCs w:val="20"/>
              </w:rPr>
              <w:t>3 ans à compter de la clôture du signalement</w:t>
            </w:r>
          </w:p>
        </w:tc>
        <w:tc>
          <w:tcPr>
            <w:tcW w:w="3400" w:type="dxa"/>
            <w:tcMar>
              <w:top w:w="100" w:type="dxa"/>
              <w:left w:w="120" w:type="dxa"/>
              <w:bottom w:w="100" w:type="dxa"/>
              <w:right w:w="120" w:type="dxa"/>
            </w:tcMar>
          </w:tcPr>
          <w:p w14:paraId="4F38A913" w14:textId="77777777" w:rsidR="00E83433" w:rsidRDefault="00000000">
            <w:r>
              <w:rPr>
                <w:sz w:val="20"/>
                <w:szCs w:val="20"/>
              </w:rPr>
              <w:t>Alignement sur le délai de prescription de l'action civile de droit commun (Art. 2224 du Code civil)</w:t>
            </w:r>
          </w:p>
        </w:tc>
        <w:tc>
          <w:tcPr>
            <w:tcW w:w="1500" w:type="dxa"/>
            <w:tcMar>
              <w:top w:w="100" w:type="dxa"/>
              <w:left w:w="120" w:type="dxa"/>
              <w:bottom w:w="100" w:type="dxa"/>
              <w:right w:w="120" w:type="dxa"/>
            </w:tcMar>
          </w:tcPr>
          <w:p w14:paraId="4BBB24DA" w14:textId="77777777" w:rsidR="00E83433" w:rsidRDefault="00000000">
            <w:r>
              <w:rPr>
                <w:sz w:val="20"/>
                <w:szCs w:val="20"/>
              </w:rPr>
              <w:t>Art. 6.1.c</w:t>
            </w:r>
          </w:p>
        </w:tc>
      </w:tr>
    </w:tbl>
    <w:p w14:paraId="3B25D9EC" w14:textId="77777777" w:rsidR="00E83433" w:rsidRDefault="00000000">
      <w:pPr>
        <w:spacing w:before="200"/>
      </w:pPr>
      <w:r>
        <w:rPr>
          <w:b/>
          <w:bCs/>
          <w:sz w:val="20"/>
          <w:szCs w:val="20"/>
        </w:rPr>
        <w:t xml:space="preserve">Note : </w:t>
      </w:r>
      <w:r>
        <w:rPr>
          <w:i/>
          <w:iCs/>
          <w:color w:val="595959"/>
          <w:sz w:val="20"/>
          <w:szCs w:val="20"/>
        </w:rPr>
        <w:t>les contenus de cours uploadés et les quiz générés suivent le cycle de vie du compte utilisateur (même durée que le compte actif), sauf demande de suppression anticipée.</w:t>
      </w:r>
    </w:p>
    <w:p w14:paraId="3625F5CC" w14:textId="77777777" w:rsidR="00E83433" w:rsidRDefault="00000000">
      <w:pPr>
        <w:pStyle w:val="Titre1"/>
        <w:spacing w:before="400" w:after="200"/>
      </w:pPr>
      <w:r>
        <w:rPr>
          <w:b/>
          <w:bCs/>
          <w:color w:val="2E6F95"/>
        </w:rPr>
        <w:t xml:space="preserve">2. </w:t>
      </w:r>
      <w:r>
        <w:rPr>
          <w:b/>
          <w:bCs/>
          <w:color w:val="1F3864"/>
        </w:rPr>
        <w:t>Motifs de conservation</w:t>
      </w:r>
    </w:p>
    <w:p w14:paraId="69535C63" w14:textId="77777777" w:rsidR="00E83433" w:rsidRDefault="00000000">
      <w:pPr>
        <w:spacing w:after="160"/>
      </w:pPr>
      <w:r>
        <w:t>Chaque durée de conservation est justifiée par une finalité déterminée et rattachée à une base juridique du RGPD.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300"/>
        <w:gridCol w:w="2500"/>
      </w:tblGrid>
      <w:tr w:rsidR="00E83433" w14:paraId="554C199C"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3E0C3488" w14:textId="77777777" w:rsidR="00E83433" w:rsidRDefault="00000000">
            <w:r>
              <w:rPr>
                <w:b/>
                <w:bCs/>
                <w:color w:val="FFFFFF"/>
                <w:sz w:val="20"/>
                <w:szCs w:val="20"/>
              </w:rPr>
              <w:t>Finalité</w:t>
            </w:r>
          </w:p>
        </w:tc>
        <w:tc>
          <w:tcPr>
            <w:tcW w:w="4300" w:type="dxa"/>
            <w:shd w:val="clear" w:color="auto" w:fill="1F3864"/>
            <w:tcMar>
              <w:top w:w="100" w:type="dxa"/>
              <w:left w:w="120" w:type="dxa"/>
              <w:bottom w:w="100" w:type="dxa"/>
              <w:right w:w="120" w:type="dxa"/>
            </w:tcMar>
          </w:tcPr>
          <w:p w14:paraId="754814D4" w14:textId="77777777" w:rsidR="00E83433" w:rsidRDefault="00000000">
            <w:r>
              <w:rPr>
                <w:b/>
                <w:bCs/>
                <w:color w:val="FFFFFF"/>
                <w:sz w:val="20"/>
                <w:szCs w:val="20"/>
              </w:rPr>
              <w:t>Description</w:t>
            </w:r>
          </w:p>
        </w:tc>
        <w:tc>
          <w:tcPr>
            <w:tcW w:w="2500" w:type="dxa"/>
            <w:shd w:val="clear" w:color="auto" w:fill="1F3864"/>
            <w:tcMar>
              <w:top w:w="100" w:type="dxa"/>
              <w:left w:w="120" w:type="dxa"/>
              <w:bottom w:w="100" w:type="dxa"/>
              <w:right w:w="120" w:type="dxa"/>
            </w:tcMar>
          </w:tcPr>
          <w:p w14:paraId="6953F788" w14:textId="77777777" w:rsidR="00E83433" w:rsidRDefault="00000000">
            <w:r>
              <w:rPr>
                <w:b/>
                <w:bCs/>
                <w:color w:val="FFFFFF"/>
                <w:sz w:val="20"/>
                <w:szCs w:val="20"/>
              </w:rPr>
              <w:t>Base juridique (Art. 6 RGPD)</w:t>
            </w:r>
          </w:p>
        </w:tc>
      </w:tr>
      <w:tr w:rsidR="00E83433" w14:paraId="5B58C74C" w14:textId="77777777">
        <w:tblPrEx>
          <w:tblCellMar>
            <w:top w:w="0" w:type="dxa"/>
            <w:bottom w:w="0" w:type="dxa"/>
          </w:tblCellMar>
        </w:tblPrEx>
        <w:tc>
          <w:tcPr>
            <w:tcW w:w="2600" w:type="dxa"/>
            <w:tcMar>
              <w:top w:w="100" w:type="dxa"/>
              <w:left w:w="120" w:type="dxa"/>
              <w:bottom w:w="100" w:type="dxa"/>
              <w:right w:w="120" w:type="dxa"/>
            </w:tcMar>
          </w:tcPr>
          <w:p w14:paraId="637F6384" w14:textId="77777777" w:rsidR="00E83433" w:rsidRDefault="00000000">
            <w:r>
              <w:rPr>
                <w:b/>
                <w:bCs/>
                <w:sz w:val="20"/>
                <w:szCs w:val="20"/>
              </w:rPr>
              <w:t>Amélioration du service</w:t>
            </w:r>
          </w:p>
        </w:tc>
        <w:tc>
          <w:tcPr>
            <w:tcW w:w="4300" w:type="dxa"/>
            <w:tcMar>
              <w:top w:w="100" w:type="dxa"/>
              <w:left w:w="120" w:type="dxa"/>
              <w:bottom w:w="100" w:type="dxa"/>
              <w:right w:w="120" w:type="dxa"/>
            </w:tcMar>
          </w:tcPr>
          <w:p w14:paraId="2919A3BC" w14:textId="77777777" w:rsidR="00E83433" w:rsidRDefault="00000000">
            <w:r>
              <w:rPr>
                <w:sz w:val="20"/>
                <w:szCs w:val="20"/>
              </w:rPr>
              <w:t>Analyse des usages, des performances des quiz générés et du modèle IA, tests, correction de bugs</w:t>
            </w:r>
          </w:p>
        </w:tc>
        <w:tc>
          <w:tcPr>
            <w:tcW w:w="2500" w:type="dxa"/>
            <w:tcMar>
              <w:top w:w="100" w:type="dxa"/>
              <w:left w:w="120" w:type="dxa"/>
              <w:bottom w:w="100" w:type="dxa"/>
              <w:right w:w="120" w:type="dxa"/>
            </w:tcMar>
          </w:tcPr>
          <w:p w14:paraId="57AB2289" w14:textId="77777777" w:rsidR="00E83433" w:rsidRDefault="00000000">
            <w:r>
              <w:rPr>
                <w:sz w:val="20"/>
                <w:szCs w:val="20"/>
              </w:rPr>
              <w:t>Art. 6.1.f — Intérêt légitime</w:t>
            </w:r>
          </w:p>
        </w:tc>
      </w:tr>
      <w:tr w:rsidR="00E83433" w14:paraId="52C75A7E" w14:textId="77777777">
        <w:tblPrEx>
          <w:tblCellMar>
            <w:top w:w="0" w:type="dxa"/>
            <w:bottom w:w="0" w:type="dxa"/>
          </w:tblCellMar>
        </w:tblPrEx>
        <w:tc>
          <w:tcPr>
            <w:tcW w:w="2600" w:type="dxa"/>
            <w:shd w:val="clear" w:color="auto" w:fill="EAF1F5"/>
            <w:tcMar>
              <w:top w:w="100" w:type="dxa"/>
              <w:left w:w="120" w:type="dxa"/>
              <w:bottom w:w="100" w:type="dxa"/>
              <w:right w:w="120" w:type="dxa"/>
            </w:tcMar>
          </w:tcPr>
          <w:p w14:paraId="77E28D2A" w14:textId="77777777" w:rsidR="00E83433" w:rsidRDefault="00000000">
            <w:r>
              <w:rPr>
                <w:b/>
                <w:bCs/>
                <w:sz w:val="20"/>
                <w:szCs w:val="20"/>
              </w:rPr>
              <w:t>Sécurité de la plateforme</w:t>
            </w:r>
          </w:p>
        </w:tc>
        <w:tc>
          <w:tcPr>
            <w:tcW w:w="4300" w:type="dxa"/>
            <w:shd w:val="clear" w:color="auto" w:fill="EAF1F5"/>
            <w:tcMar>
              <w:top w:w="100" w:type="dxa"/>
              <w:left w:w="120" w:type="dxa"/>
              <w:bottom w:w="100" w:type="dxa"/>
              <w:right w:w="120" w:type="dxa"/>
            </w:tcMar>
          </w:tcPr>
          <w:p w14:paraId="494E8D4D" w14:textId="77777777" w:rsidR="00E83433" w:rsidRDefault="00000000">
            <w:r>
              <w:rPr>
                <w:sz w:val="20"/>
                <w:szCs w:val="20"/>
              </w:rPr>
              <w:t>Détection des fraudes, prévention des abus, journalisation des accès et des anomalies</w:t>
            </w:r>
          </w:p>
        </w:tc>
        <w:tc>
          <w:tcPr>
            <w:tcW w:w="2500" w:type="dxa"/>
            <w:shd w:val="clear" w:color="auto" w:fill="EAF1F5"/>
            <w:tcMar>
              <w:top w:w="100" w:type="dxa"/>
              <w:left w:w="120" w:type="dxa"/>
              <w:bottom w:w="100" w:type="dxa"/>
              <w:right w:w="120" w:type="dxa"/>
            </w:tcMar>
          </w:tcPr>
          <w:p w14:paraId="658FA55A" w14:textId="77777777" w:rsidR="00E83433" w:rsidRDefault="00000000">
            <w:r>
              <w:rPr>
                <w:sz w:val="20"/>
                <w:szCs w:val="20"/>
              </w:rPr>
              <w:t>Art. 6.1.f — Intérêt légitime</w:t>
            </w:r>
          </w:p>
        </w:tc>
      </w:tr>
      <w:tr w:rsidR="00E83433" w14:paraId="7D62ACF9" w14:textId="77777777">
        <w:tblPrEx>
          <w:tblCellMar>
            <w:top w:w="0" w:type="dxa"/>
            <w:bottom w:w="0" w:type="dxa"/>
          </w:tblCellMar>
        </w:tblPrEx>
        <w:tc>
          <w:tcPr>
            <w:tcW w:w="2600" w:type="dxa"/>
            <w:tcMar>
              <w:top w:w="100" w:type="dxa"/>
              <w:left w:w="120" w:type="dxa"/>
              <w:bottom w:w="100" w:type="dxa"/>
              <w:right w:w="120" w:type="dxa"/>
            </w:tcMar>
          </w:tcPr>
          <w:p w14:paraId="44E763B9" w14:textId="77777777" w:rsidR="00E83433" w:rsidRDefault="00000000">
            <w:r>
              <w:rPr>
                <w:b/>
                <w:bCs/>
                <w:sz w:val="20"/>
                <w:szCs w:val="20"/>
              </w:rPr>
              <w:t>Obligation légale</w:t>
            </w:r>
          </w:p>
        </w:tc>
        <w:tc>
          <w:tcPr>
            <w:tcW w:w="4300" w:type="dxa"/>
            <w:tcMar>
              <w:top w:w="100" w:type="dxa"/>
              <w:left w:w="120" w:type="dxa"/>
              <w:bottom w:w="100" w:type="dxa"/>
              <w:right w:w="120" w:type="dxa"/>
            </w:tcMar>
          </w:tcPr>
          <w:p w14:paraId="7BE982C6" w14:textId="77777777" w:rsidR="00E83433" w:rsidRDefault="00000000">
            <w:r>
              <w:rPr>
                <w:sz w:val="20"/>
                <w:szCs w:val="20"/>
              </w:rPr>
              <w:t>Conservation nécessaire pour répondre à une réquisition judiciaire, un contrôle CNIL ou une obligation comptable/fiscale</w:t>
            </w:r>
          </w:p>
        </w:tc>
        <w:tc>
          <w:tcPr>
            <w:tcW w:w="2500" w:type="dxa"/>
            <w:tcMar>
              <w:top w:w="100" w:type="dxa"/>
              <w:left w:w="120" w:type="dxa"/>
              <w:bottom w:w="100" w:type="dxa"/>
              <w:right w:w="120" w:type="dxa"/>
            </w:tcMar>
          </w:tcPr>
          <w:p w14:paraId="484AEC93" w14:textId="77777777" w:rsidR="00E83433" w:rsidRDefault="00000000">
            <w:r>
              <w:rPr>
                <w:sz w:val="20"/>
                <w:szCs w:val="20"/>
              </w:rPr>
              <w:t>Art. 6.1.c — Obligation légale</w:t>
            </w:r>
          </w:p>
        </w:tc>
      </w:tr>
    </w:tbl>
    <w:p w14:paraId="4D92CA09" w14:textId="77777777" w:rsidR="00E83433" w:rsidRDefault="00000000">
      <w:pPr>
        <w:pStyle w:val="Titre1"/>
        <w:spacing w:before="400" w:after="200"/>
      </w:pPr>
      <w:r>
        <w:rPr>
          <w:b/>
          <w:bCs/>
          <w:color w:val="2E6F95"/>
        </w:rPr>
        <w:t xml:space="preserve">3. </w:t>
      </w:r>
      <w:r>
        <w:rPr>
          <w:b/>
          <w:bCs/>
          <w:color w:val="1F3864"/>
        </w:rPr>
        <w:t>Procédure de suppression</w:t>
      </w:r>
    </w:p>
    <w:p w14:paraId="135DA599" w14:textId="77777777" w:rsidR="00E83433" w:rsidRDefault="00000000">
      <w:pPr>
        <w:pStyle w:val="Titre2"/>
        <w:spacing w:before="240" w:after="120"/>
      </w:pPr>
      <w:r>
        <w:rPr>
          <w:b/>
          <w:bCs/>
          <w:color w:val="1F3864"/>
        </w:rPr>
        <w:t>3.1 Suppression automatique</w:t>
      </w:r>
    </w:p>
    <w:p w14:paraId="0AA68865" w14:textId="77777777" w:rsidR="00E83433" w:rsidRDefault="00000000">
      <w:pPr>
        <w:spacing w:after="160"/>
      </w:pPr>
      <w:r>
        <w:lastRenderedPageBreak/>
        <w:t xml:space="preserve">Une procédure technique automatisée (tâche planifiée / </w:t>
      </w:r>
      <w:proofErr w:type="spellStart"/>
      <w:r>
        <w:t>cron</w:t>
      </w:r>
      <w:proofErr w:type="spellEnd"/>
      <w:r>
        <w:t>) s'exécute périodiquement pour purger les données ayant dépassé leur durée de conservation :</w:t>
      </w:r>
    </w:p>
    <w:p w14:paraId="31CB4BCE" w14:textId="77777777" w:rsidR="00E83433" w:rsidRDefault="00000000">
      <w:pPr>
        <w:pStyle w:val="Paragraphedeliste"/>
        <w:numPr>
          <w:ilvl w:val="0"/>
          <w:numId w:val="2"/>
        </w:numPr>
        <w:spacing w:after="80"/>
      </w:pPr>
      <w:r>
        <w:t xml:space="preserve">Fréquence : exécution quotidienne (tâche </w:t>
      </w:r>
      <w:proofErr w:type="spellStart"/>
      <w:r>
        <w:t>cron</w:t>
      </w:r>
      <w:proofErr w:type="spellEnd"/>
      <w:r>
        <w:t>)</w:t>
      </w:r>
    </w:p>
    <w:p w14:paraId="5F27F1C1" w14:textId="77777777" w:rsidR="00E83433" w:rsidRDefault="00000000">
      <w:pPr>
        <w:pStyle w:val="Paragraphedeliste"/>
        <w:numPr>
          <w:ilvl w:val="0"/>
          <w:numId w:val="2"/>
        </w:numPr>
        <w:spacing w:after="80"/>
      </w:pPr>
      <w:r>
        <w:t>Cible : logs techniques (&gt; 12 mois), signalements clôturés (&gt; 3 ans), comptes inactifs identifiés selon la politique d'inactivité</w:t>
      </w:r>
    </w:p>
    <w:p w14:paraId="1A7263BD" w14:textId="77777777" w:rsidR="00E83433" w:rsidRDefault="00000000">
      <w:pPr>
        <w:pStyle w:val="Paragraphedeliste"/>
        <w:numPr>
          <w:ilvl w:val="0"/>
          <w:numId w:val="2"/>
        </w:numPr>
        <w:spacing w:after="80"/>
      </w:pPr>
      <w:r>
        <w:t>Journalisation : chaque exécution de purge génère un log d'audit horodaté, conservé séparément à des fins de preuve de conformité</w:t>
      </w:r>
    </w:p>
    <w:p w14:paraId="31690F58" w14:textId="77777777" w:rsidR="00E83433" w:rsidRDefault="00000000">
      <w:pPr>
        <w:pStyle w:val="Paragraphedeliste"/>
        <w:numPr>
          <w:ilvl w:val="0"/>
          <w:numId w:val="2"/>
        </w:numPr>
        <w:spacing w:after="80"/>
      </w:pPr>
      <w:r>
        <w:t>Anonymisation intermédiaire : lorsque la suppression complète n'est pas possible immédiatement (contraintes techniques), les données sont anonymisées en attendant la purge définitive</w:t>
      </w:r>
    </w:p>
    <w:p w14:paraId="267E79F6" w14:textId="77777777" w:rsidR="00E83433" w:rsidRDefault="00000000">
      <w:pPr>
        <w:pStyle w:val="Titre2"/>
        <w:spacing w:before="240" w:after="120"/>
      </w:pPr>
      <w:r>
        <w:rPr>
          <w:b/>
          <w:bCs/>
          <w:color w:val="1F3864"/>
        </w:rPr>
        <w:t>3.2 Suppression manuelle — Droit à l'oubli (Art. 17 RGPD)</w:t>
      </w:r>
    </w:p>
    <w:p w14:paraId="5D19A7C9" w14:textId="77777777" w:rsidR="00E83433" w:rsidRDefault="00000000">
      <w:pPr>
        <w:spacing w:after="160"/>
      </w:pPr>
      <w:r>
        <w:t>Tout utilisateur peut exercer son droit à l'effacement (« droit à l'oubli ») prévu à l'article 17 du RGPD. La procédure manuelle associée est la suivante :</w:t>
      </w:r>
    </w:p>
    <w:p w14:paraId="3C46A68E" w14:textId="77777777" w:rsidR="00E83433" w:rsidRDefault="00000000">
      <w:pPr>
        <w:pStyle w:val="Paragraphedeliste"/>
        <w:numPr>
          <w:ilvl w:val="0"/>
          <w:numId w:val="2"/>
        </w:numPr>
        <w:spacing w:after="80"/>
      </w:pPr>
      <w:r>
        <w:t xml:space="preserve">Réception de la demande via le formulaire de contact dédié ou par </w:t>
      </w:r>
      <w:proofErr w:type="gramStart"/>
      <w:r>
        <w:t>email</w:t>
      </w:r>
      <w:proofErr w:type="gramEnd"/>
      <w:r>
        <w:t xml:space="preserve"> au délégué à la protection des données (DPO)</w:t>
      </w:r>
    </w:p>
    <w:p w14:paraId="7D707BEF" w14:textId="77777777" w:rsidR="00E83433" w:rsidRDefault="00000000">
      <w:pPr>
        <w:pStyle w:val="Paragraphedeliste"/>
        <w:numPr>
          <w:ilvl w:val="0"/>
          <w:numId w:val="2"/>
        </w:numPr>
        <w:spacing w:after="80"/>
      </w:pPr>
      <w:r>
        <w:t>Vérification de l'identité du demandeur pour prévenir toute suppression frauduleuse</w:t>
      </w:r>
    </w:p>
    <w:p w14:paraId="5F4F84AC" w14:textId="77777777" w:rsidR="00E83433" w:rsidRDefault="00000000">
      <w:pPr>
        <w:pStyle w:val="Paragraphedeliste"/>
        <w:numPr>
          <w:ilvl w:val="0"/>
          <w:numId w:val="2"/>
        </w:numPr>
        <w:spacing w:after="80"/>
      </w:pPr>
      <w:r>
        <w:t>Traitement de la demande dans un délai maximal d'un mois (extensible à trois mois pour les demandes complexes, avec information du demandeur)</w:t>
      </w:r>
    </w:p>
    <w:p w14:paraId="08A19646" w14:textId="77777777" w:rsidR="00E83433" w:rsidRDefault="00000000">
      <w:pPr>
        <w:pStyle w:val="Paragraphedeliste"/>
        <w:numPr>
          <w:ilvl w:val="0"/>
          <w:numId w:val="2"/>
        </w:numPr>
        <w:spacing w:after="80"/>
      </w:pPr>
      <w:r>
        <w:t>Suppression ou anonymisation des données du compte : profil, contenus uploadés, quiz générés, réponses et scores</w:t>
      </w:r>
    </w:p>
    <w:p w14:paraId="3A0EC276" w14:textId="77777777" w:rsidR="00E83433" w:rsidRDefault="00000000">
      <w:pPr>
        <w:pStyle w:val="Paragraphedeliste"/>
        <w:numPr>
          <w:ilvl w:val="0"/>
          <w:numId w:val="2"/>
        </w:numPr>
        <w:spacing w:after="80"/>
      </w:pPr>
      <w:r>
        <w:t>Conservation résiduelle limitée aux seules données requises par une obligation légale (ex. logs de sécurité en cours de rétention, signalements en cours de prescription), avec information explicite du demandeur sur ce périmètre restreint</w:t>
      </w:r>
    </w:p>
    <w:p w14:paraId="375F1E7E" w14:textId="63737B6B" w:rsidR="00E83433" w:rsidRDefault="00000000" w:rsidP="00DF0689">
      <w:pPr>
        <w:pStyle w:val="Paragraphedeliste"/>
        <w:numPr>
          <w:ilvl w:val="0"/>
          <w:numId w:val="2"/>
        </w:numPr>
        <w:spacing w:after="80"/>
      </w:pPr>
      <w:r>
        <w:t>Confirmation écrite de la suppression envoyée à l'utilisateur</w:t>
      </w:r>
    </w:p>
    <w:sectPr w:rsidR="00E83433">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7E55C" w14:textId="77777777" w:rsidR="00A763B5" w:rsidRDefault="00A763B5">
      <w:r>
        <w:separator/>
      </w:r>
    </w:p>
  </w:endnote>
  <w:endnote w:type="continuationSeparator" w:id="0">
    <w:p w14:paraId="07BD2D9C" w14:textId="77777777" w:rsidR="00A763B5" w:rsidRDefault="00A76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76D6" w14:textId="77777777" w:rsidR="00E83433"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533CC">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F533C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41F09" w14:textId="77777777" w:rsidR="00A763B5" w:rsidRDefault="00A763B5">
      <w:r>
        <w:separator/>
      </w:r>
    </w:p>
  </w:footnote>
  <w:footnote w:type="continuationSeparator" w:id="0">
    <w:p w14:paraId="30A23C15" w14:textId="77777777" w:rsidR="00A763B5" w:rsidRDefault="00A76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80B38" w14:textId="77777777" w:rsidR="00F533CC" w:rsidRDefault="00F533CC" w:rsidP="00F533CC">
    <w:pPr>
      <w:pBdr>
        <w:bottom w:val="single" w:sz="4" w:space="4" w:color="DDDDDD"/>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76A6B"/>
    <w:multiLevelType w:val="hybridMultilevel"/>
    <w:tmpl w:val="6366B2E6"/>
    <w:lvl w:ilvl="0" w:tplc="C4404C40">
      <w:start w:val="1"/>
      <w:numFmt w:val="bullet"/>
      <w:lvlText w:val="●"/>
      <w:lvlJc w:val="left"/>
      <w:pPr>
        <w:ind w:left="720" w:hanging="360"/>
      </w:pPr>
    </w:lvl>
    <w:lvl w:ilvl="1" w:tplc="887806B0">
      <w:start w:val="1"/>
      <w:numFmt w:val="bullet"/>
      <w:lvlText w:val="○"/>
      <w:lvlJc w:val="left"/>
      <w:pPr>
        <w:ind w:left="1440" w:hanging="360"/>
      </w:pPr>
    </w:lvl>
    <w:lvl w:ilvl="2" w:tplc="D8E09858">
      <w:start w:val="1"/>
      <w:numFmt w:val="bullet"/>
      <w:lvlText w:val="■"/>
      <w:lvlJc w:val="left"/>
      <w:pPr>
        <w:ind w:left="2160" w:hanging="360"/>
      </w:pPr>
    </w:lvl>
    <w:lvl w:ilvl="3" w:tplc="E1E6B896">
      <w:start w:val="1"/>
      <w:numFmt w:val="bullet"/>
      <w:lvlText w:val="●"/>
      <w:lvlJc w:val="left"/>
      <w:pPr>
        <w:ind w:left="2880" w:hanging="360"/>
      </w:pPr>
    </w:lvl>
    <w:lvl w:ilvl="4" w:tplc="C38A1052">
      <w:start w:val="1"/>
      <w:numFmt w:val="bullet"/>
      <w:lvlText w:val="○"/>
      <w:lvlJc w:val="left"/>
      <w:pPr>
        <w:ind w:left="3600" w:hanging="360"/>
      </w:pPr>
    </w:lvl>
    <w:lvl w:ilvl="5" w:tplc="7B2A7930">
      <w:start w:val="1"/>
      <w:numFmt w:val="bullet"/>
      <w:lvlText w:val="■"/>
      <w:lvlJc w:val="left"/>
      <w:pPr>
        <w:ind w:left="4320" w:hanging="360"/>
      </w:pPr>
    </w:lvl>
    <w:lvl w:ilvl="6" w:tplc="A46084B2">
      <w:start w:val="1"/>
      <w:numFmt w:val="bullet"/>
      <w:lvlText w:val="●"/>
      <w:lvlJc w:val="left"/>
      <w:pPr>
        <w:ind w:left="5040" w:hanging="360"/>
      </w:pPr>
    </w:lvl>
    <w:lvl w:ilvl="7" w:tplc="2C1EF19E">
      <w:start w:val="1"/>
      <w:numFmt w:val="bullet"/>
      <w:lvlText w:val="●"/>
      <w:lvlJc w:val="left"/>
      <w:pPr>
        <w:ind w:left="5760" w:hanging="360"/>
      </w:pPr>
    </w:lvl>
    <w:lvl w:ilvl="8" w:tplc="DCB00FB8">
      <w:start w:val="1"/>
      <w:numFmt w:val="bullet"/>
      <w:lvlText w:val="●"/>
      <w:lvlJc w:val="left"/>
      <w:pPr>
        <w:ind w:left="6480" w:hanging="360"/>
      </w:pPr>
    </w:lvl>
  </w:abstractNum>
  <w:abstractNum w:abstractNumId="1" w15:restartNumberingAfterBreak="0">
    <w:nsid w:val="30852194"/>
    <w:multiLevelType w:val="hybridMultilevel"/>
    <w:tmpl w:val="D40443D8"/>
    <w:lvl w:ilvl="0" w:tplc="245C2524">
      <w:start w:val="1"/>
      <w:numFmt w:val="bullet"/>
      <w:lvlText w:val="•"/>
      <w:lvlJc w:val="left"/>
      <w:pPr>
        <w:ind w:left="504" w:hanging="259"/>
      </w:pPr>
    </w:lvl>
    <w:lvl w:ilvl="1" w:tplc="4262117E">
      <w:numFmt w:val="decimal"/>
      <w:lvlText w:val=""/>
      <w:lvlJc w:val="left"/>
    </w:lvl>
    <w:lvl w:ilvl="2" w:tplc="94726A04">
      <w:numFmt w:val="decimal"/>
      <w:lvlText w:val=""/>
      <w:lvlJc w:val="left"/>
    </w:lvl>
    <w:lvl w:ilvl="3" w:tplc="7CE0003E">
      <w:numFmt w:val="decimal"/>
      <w:lvlText w:val=""/>
      <w:lvlJc w:val="left"/>
    </w:lvl>
    <w:lvl w:ilvl="4" w:tplc="CA665DD2">
      <w:numFmt w:val="decimal"/>
      <w:lvlText w:val=""/>
      <w:lvlJc w:val="left"/>
    </w:lvl>
    <w:lvl w:ilvl="5" w:tplc="C2EC8B76">
      <w:numFmt w:val="decimal"/>
      <w:lvlText w:val=""/>
      <w:lvlJc w:val="left"/>
    </w:lvl>
    <w:lvl w:ilvl="6" w:tplc="CC9C1C94">
      <w:numFmt w:val="decimal"/>
      <w:lvlText w:val=""/>
      <w:lvlJc w:val="left"/>
    </w:lvl>
    <w:lvl w:ilvl="7" w:tplc="B6545B3C">
      <w:numFmt w:val="decimal"/>
      <w:lvlText w:val=""/>
      <w:lvlJc w:val="left"/>
    </w:lvl>
    <w:lvl w:ilvl="8" w:tplc="8FF41C16">
      <w:numFmt w:val="decimal"/>
      <w:lvlText w:val=""/>
      <w:lvlJc w:val="left"/>
    </w:lvl>
  </w:abstractNum>
  <w:num w:numId="1" w16cid:durableId="686636530">
    <w:abstractNumId w:val="0"/>
    <w:lvlOverride w:ilvl="0">
      <w:startOverride w:val="1"/>
    </w:lvlOverride>
  </w:num>
  <w:num w:numId="2" w16cid:durableId="13989428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433"/>
    <w:rsid w:val="005710AF"/>
    <w:rsid w:val="00A763B5"/>
    <w:rsid w:val="00CC0067"/>
    <w:rsid w:val="00DF0689"/>
    <w:rsid w:val="00E83433"/>
    <w:rsid w:val="00F533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154A7"/>
  <w15:docId w15:val="{6206DB37-6F38-4809-8461-314C7E774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533CC"/>
    <w:pPr>
      <w:tabs>
        <w:tab w:val="center" w:pos="4536"/>
        <w:tab w:val="right" w:pos="9072"/>
      </w:tabs>
    </w:pPr>
  </w:style>
  <w:style w:type="character" w:customStyle="1" w:styleId="En-tteCar">
    <w:name w:val="En-tête Car"/>
    <w:basedOn w:val="Policepardfaut"/>
    <w:link w:val="En-tte"/>
    <w:uiPriority w:val="99"/>
    <w:rsid w:val="00F533CC"/>
  </w:style>
  <w:style w:type="paragraph" w:styleId="Pieddepage">
    <w:name w:val="footer"/>
    <w:basedOn w:val="Normal"/>
    <w:link w:val="PieddepageCar"/>
    <w:uiPriority w:val="99"/>
    <w:unhideWhenUsed/>
    <w:rsid w:val="00F533CC"/>
    <w:pPr>
      <w:tabs>
        <w:tab w:val="center" w:pos="4536"/>
        <w:tab w:val="right" w:pos="9072"/>
      </w:tabs>
    </w:pPr>
  </w:style>
  <w:style w:type="character" w:customStyle="1" w:styleId="PieddepageCar">
    <w:name w:val="Pied de page Car"/>
    <w:basedOn w:val="Policepardfaut"/>
    <w:link w:val="Pieddepage"/>
    <w:uiPriority w:val="99"/>
    <w:rsid w:val="00F53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575</Words>
  <Characters>3164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Maxence PICAULT</cp:lastModifiedBy>
  <cp:revision>3</cp:revision>
  <dcterms:created xsi:type="dcterms:W3CDTF">2026-07-01T08:32:00Z</dcterms:created>
  <dcterms:modified xsi:type="dcterms:W3CDTF">2026-07-01T08:55:00Z</dcterms:modified>
</cp:coreProperties>
</file>