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i w:val="false"/>
          <w:color w:val="4F46E5"/>
          <w:sz w:val="40"/>
        </w:rPr>
        <w:t>Fiches Personas — EduTutor IA</w:t>
      </w:r>
    </w:p>
    <w:p>
      <w:pPr>
        <w:pStyle w:val="Normal"/>
        <w:spacing w:before="0" w:after="60"/>
        <w:rPr/>
      </w:pPr>
      <w:r>
        <w:rPr>
          <w:b w:val="false"/>
          <w:i/>
          <w:color w:val="64748B"/>
          <w:sz w:val="20"/>
        </w:rPr>
        <w:t>Cadrage matinal · Artefact 2 sur 7 · Les 3 utilisateurs cibles d'EduTutor IA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Identification du document (a completer par l'equipe)</w:t>
      </w:r>
    </w:p>
    <w:tbl>
      <w:tblPr>
        <w:tblStyle w:val="LightList-Accent1"/>
        <w:tblW w:w="103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56"/>
        <w:gridCol w:w="5156"/>
      </w:tblGrid>
      <w:tr>
        <w:trPr/>
        <w:tc>
          <w:tcPr>
            <w:tcW w:w="5156" w:type="dxa"/>
            <w:tcBorders>
              <w:bottom w:val="nil"/>
              <w:end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Equipe n°</w:t>
            </w:r>
          </w:p>
        </w:tc>
        <w:tc>
          <w:tcPr>
            <w:tcW w:w="5156" w:type="dxa"/>
            <w:tcBorders>
              <w:star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/>
                <w:i w:val="false"/>
                <w:color w:themeColor="background1" w:val="FFFFFF"/>
                <w:kern w:val="0"/>
                <w:sz w:val="20"/>
                <w:szCs w:val="22"/>
                <w:lang w:val="en-US" w:eastAsia="en-US" w:bidi="ar-SA"/>
              </w:rPr>
              <w:t>[ Numero d'equipe ]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Membres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Nassim Bouzerara, Maxence Picault, Aurélie DEMURE, Adam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Amrane, Marco Rafael salgado soares de faria, Sofiane Ouadah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Sprint concerne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Cadrage J1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v2.0 (post-perturbation J1 : ajout cible enseignante)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Date de remise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[ JJ/MM/AAAA  HHhMM ]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Statut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Draft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31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color="auto" w:fill="FEF3C7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 w:val="false"/>
                <w:i/>
                <w:color w:val="334155"/>
                <w:sz w:val="19"/>
              </w:rPr>
              <w:t>Convention de nommage du fichier : equipe-XX-persona-vY.Z.docx (ex. equipe-03-persona-v2.0.docx).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Preambule — pourquoi cet artefact ?</w:t>
      </w:r>
    </w:p>
    <w:p>
      <w:pPr>
        <w:pStyle w:val="Normal"/>
        <w:spacing w:before="0" w:after="60"/>
        <w:rPr/>
      </w:pPr>
      <w:r>
        <w:rPr>
          <w:b w:val="false"/>
          <w:i w:val="false"/>
          <w:sz w:val="21"/>
        </w:rPr>
        <w:t>Une persona represente un utilisateur type, construit a partir de donnees (entretiens, statistiques, observations) et non d'intuitions. Elle sert a trancher les arbitrages produit : « est-ce que Lea utiliserait vraiment cette fonctionnalite ? » remplace « est-ce que c'est bien ? ». Ce document contient 3 personas couvrant les 3 cibles du Product Vision Board : etudiant·e (primaire), enseignant·e (secondaire, emergente lors de la perturbation J1) et etablissement scolaire (tertiaire, B2B). Pour chacune, 6 dimensions, plus une section anti-persona.</w:t>
      </w:r>
    </w:p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1. Persona primaire — Etudiant·e du superieur</w:t>
      </w:r>
    </w:p>
    <w:tbl>
      <w:tblPr>
        <w:tblW w:w="1031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color="auto" w:fill="EEF2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 w:val="false"/>
                <w:i/>
                <w:color w:val="334155"/>
                <w:sz w:val="19"/>
              </w:rPr>
              <w:t>Objectif : decrire l'utilisateur principal (celui qui ouvre l'app au quotidien) avec assez de concretude pour qu'on « voie » la personne. Frustrations et objectifs chiffres.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1.1. Identite</w:t>
      </w:r>
    </w:p>
    <w:tbl>
      <w:tblPr>
        <w:tblStyle w:val="LightList-Accent1"/>
        <w:tblW w:w="103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56"/>
        <w:gridCol w:w="5156"/>
      </w:tblGrid>
      <w:tr>
        <w:trPr/>
        <w:tc>
          <w:tcPr>
            <w:tcW w:w="5156" w:type="dxa"/>
            <w:tcBorders>
              <w:bottom w:val="nil"/>
              <w:end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Nom / Prenom</w:t>
            </w:r>
          </w:p>
        </w:tc>
        <w:tc>
          <w:tcPr>
            <w:tcW w:w="5156" w:type="dxa"/>
            <w:tcBorders>
              <w:star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/>
                <w:i w:val="false"/>
                <w:color w:themeColor="background1" w:val="FFFFFF"/>
                <w:kern w:val="0"/>
                <w:sz w:val="20"/>
                <w:szCs w:val="22"/>
                <w:lang w:val="en-US" w:eastAsia="en-US" w:bidi="ar-SA"/>
              </w:rPr>
              <w:t>Lea Martin (fictif, a adapter selon votre equipe)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 ans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Profession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Etudiante en L2 droit, Paris II Pantheon-Assas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Localisation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Paris 5e · trajet quotidien RER B 35 min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Boursiere echelon 4, colocation 3 personnes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Photo / avatar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[ inserer avatar fictif Notion / Unsplash 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1.2. Contexte d'usage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Smartphone Android personnel (Samsung A53), wifi domestique fluide, 4G dans le RER.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Laptop emprunte a la BU 2 fois/semaine (pas d'ordinateur perso).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Travaille en silence chez elle ou en BU, ecoute parfois du Lo-Fi.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Revise principalement en soiree 19h-22h et le dimanche apres-midi.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Volume de revision : ~8h/semaine, en hausse a ~15h a l'approche des partiels.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1.3. Competences numeriques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Power user smartphone (Instagram, TikTok, BlaBlaCar, Doctolib, ENT universite).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Autonome sur Moodle et l'ENT, importe des fichiers PDF/Word sans souci.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 teste ChatGPT 4-5 fois pour des resumes, sans usage regulier.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Allergique aux installations en ligne de commande ou aux parametrages techniques.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Attend une interface en francais, simple, qui marche du premier coup.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1.4. Frustrations / pain points (chiffres)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Perd ~3h/semaine a chercher des fiches de revision en ligne, de qualite aleatoire.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Les fiches trouvees sont rarement a jour avec sa promo (le cours change chaque annee).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Se sent surchargee a 3 semaines des partiels, sans plan de revision personnalise.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Ne sait pas mesurer si elle « connait » un chapitre ou si elle « croit » le connaitre.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Doute sur la confidentialite : elle n'aime pas l'idee d'envoyer ses cours a un serveur tiers.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1.5. Objectifs (jobs-to-be-done, SMART)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Generer un quiz de revision sur n'importe quel chapitre en moins de 5 minutes.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Identifier ses lacunes par chapitre 2 semaines avant les partiels (vs 3 jours aujourd'hui).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Gagner ~2h/semaine sur la recherche de supports (vs 3h aujourd'hui).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Suivre sa progression dans le temps pour rester motivee jusqu'aux examens.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1.6. Criteres de succes personnels (point de vue persona)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je gagne au moins 1h/semaine sur ma preparation, j'adopte.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ca plante 1 fois en bibliotheque devant mes amies, je n'y reviens jamais.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mes cours ne quittent pas l'outil, je me sens en confiance pour tout y mettre. »</w:t>
      </w:r>
    </w:p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2. Persona secondaire — Enseignant·e (persona emergente J1)</w:t>
      </w:r>
    </w:p>
    <w:tbl>
      <w:tblPr>
        <w:tblW w:w="1031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color="auto" w:fill="EEF2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 w:val="false"/>
                <w:i/>
                <w:color w:val="334155"/>
                <w:sz w:val="19"/>
              </w:rPr>
              <w:t>Objectif : decrire l'utilisateur secondaire qui emerge lors de la perturbation J1. Mme Lefevre n'est pas la cible initiale mais represente la cible B2B la plus credible. Pain points et objectifs lies a l'enseignement, pas a la revision personnelle.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2.1. Identite</w:t>
      </w:r>
    </w:p>
    <w:tbl>
      <w:tblPr>
        <w:tblStyle w:val="LightList-Accent1"/>
        <w:tblW w:w="103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56"/>
        <w:gridCol w:w="5156"/>
      </w:tblGrid>
      <w:tr>
        <w:trPr/>
        <w:tc>
          <w:tcPr>
            <w:tcW w:w="5156" w:type="dxa"/>
            <w:tcBorders>
              <w:bottom w:val="nil"/>
              <w:end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Nom / Prenom</w:t>
            </w:r>
          </w:p>
        </w:tc>
        <w:tc>
          <w:tcPr>
            <w:tcW w:w="5156" w:type="dxa"/>
            <w:tcBorders>
              <w:star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/>
                <w:i w:val="false"/>
                <w:color w:themeColor="background1" w:val="FFFFFF"/>
                <w:kern w:val="0"/>
                <w:sz w:val="20"/>
                <w:szCs w:val="22"/>
                <w:lang w:val="en-US" w:eastAsia="en-US" w:bidi="ar-SA"/>
              </w:rPr>
              <w:t>Mme Sophie Lefevre (persona officielle perturbation J1)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42 ans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Profession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Professeure de Communication, BTS, lycee prive sous contrat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Localisation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Lyon 6e · trajet voiture 25 min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Mariee, 2 enfants (12 et 15 ans), salaire ~2 700 € net/mois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Photo / avatar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[ inserer avatar fictif 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2.2. Contexte d'usage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28 etudiants dans sa classe de BTS Communication 1re annee.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6h de cours/semaine + ~3h de preparation + ~3h de correction = ~12h/semaine.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Salle informatique disponible mais reseau lent (4G partagee pour les etudiants).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Smartphones Android personnels chez les etudiants (modeles 2018-2023).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Sensible a la conformite RGPD : ce sont des donnees d'eleves.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2.3. Competences numeriques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Power user Word + Excel, autonome sur Moodle et Pronote.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Pas developpeuse, allergique aux installations en ligne de commande.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Decouvre l'IA generative (a teste ChatGPT 2 fois).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Suit l'actualite edtech via X (Twitter) et la newsletter Cafe Pedagogique.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Attend de la fiabilite et de la simplicite, pas du parametrage.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2.4. Frustrations / pain points (chiffres)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Corrige 28 copies x 3 quiz/semaine, soit ~12h de correction/mois.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Preparation chronophage : creer 1 quiz coherent lui prend ~90 minutes.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Pas de variation des questions : les etudiants se passent les reponses entre cours.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Quiz « plats » alors qu'elle aimerait varier types et difficultes.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Aucune vue d'ensemble : impossible de reperer rapidement les eleves qui decrochent.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2.5. Objectifs (jobs-to-be-done, SMART)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Generer 1 quiz personnalise en moins de 5 minutes sur n'importe quel chapitre.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Personnaliser : niveau, nombre de questions, type (QCM / vrai-faux / questions ouvertes).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Suivre l'engagement de la classe (qui a repondu, score moyen, lacunes communes).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Reperer en 3 clics les eleves en difficulte et leur envoyer un conseil cible.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2.6. Criteres de succes personnels (point de vue persona)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je gagne 1h/semaine sur ma preparation, j'adopte definitivement.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ca plante 1 fois en cours devant 28 etudiants, je n'y reviens jamais.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je peux exporter en Word pour l'imprimer en salle des profs, c'est parfait. »</w:t>
      </w:r>
    </w:p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3. Persona tertiaire — Etablissement scolaire (acheteur B2B)</w:t>
      </w:r>
    </w:p>
    <w:tbl>
      <w:tblPr>
        <w:tblW w:w="1031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color="auto" w:fill="EEF2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 w:val="false"/>
                <w:i/>
                <w:color w:val="334155"/>
                <w:sz w:val="19"/>
              </w:rPr>
              <w:t>Objectif : decrire la personne qui decide de l'achat (differente de l'utilisateur). En education B2B, c'est souvent un·e responsable pedagogique ou un·e directeur·rice. Focus sur le processus d'achat (budget, cycle, validations multiples).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3.1. Identite</w:t>
      </w:r>
    </w:p>
    <w:tbl>
      <w:tblPr>
        <w:tblStyle w:val="LightList-Accent1"/>
        <w:tblW w:w="103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56"/>
        <w:gridCol w:w="5156"/>
      </w:tblGrid>
      <w:tr>
        <w:trPr/>
        <w:tc>
          <w:tcPr>
            <w:tcW w:w="5156" w:type="dxa"/>
            <w:tcBorders>
              <w:bottom w:val="nil"/>
              <w:end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Nom / Prenom</w:t>
            </w:r>
          </w:p>
        </w:tc>
        <w:tc>
          <w:tcPr>
            <w:tcW w:w="5156" w:type="dxa"/>
            <w:tcBorders>
              <w:star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/>
                <w:i w:val="false"/>
                <w:color w:themeColor="background1" w:val="FFFFFF"/>
                <w:kern w:val="0"/>
                <w:sz w:val="20"/>
                <w:szCs w:val="22"/>
                <w:lang w:val="en-US" w:eastAsia="en-US" w:bidi="ar-SA"/>
              </w:rPr>
              <w:t>M. David Chen (fictif, a adapter)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51 ans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Profession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Directeur des etudes d'un lycee prive sous contrat (1 200 eleves)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Localisation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Lyon 6e · meme etablissement que Mme Lefevre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Marie, enfants grands, 25 ans d'experience dans l'enseignement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Photo / avatar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[ inserer avatar fictif 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3.2. Contexte d'usage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Budget edtech ~12 000 €/an pour le lycee (10 €/eleve x 1 200).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Cycle d'achat : 6 mois minimum (validation pedagogique + DPO + comptabilite).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Decide avec 3 acteurs : conseil pedagogique, DPO, gestionnaire financier.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Choisit les outils edtech 1 fois/an, en mai-juin pour la rentree de septembre.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Recherche des outils perennes apres avoir ete echaude par des fermetures en cours d'annee.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3.3. Competences numeriques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Utilisateur courant ENT/Pronote, gere les comptes profs et eleves.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Pas technique, fait confiance au DSI mutualise du reseau d'etablissements.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Lit les CGV/CGU, exige des engagements RGPD ecrits.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Sensible aux arguments de souverainete des donnees (IA locale).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3.4. Frustrations / pain points (chiffres)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 deja signe pour 2 outils edtech fermes en cours d'annee (risque de perennite).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Le DPO refuse systematiquement les outils transferant des donnees hors UE (LLM US).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Pression du conseil d'administration pour demontrer une « strategie IA pedagogique ».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Les profs ralent quand on impose un nouvel outil : besoin d'adhesion prealable.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3.5. Objectifs (jobs-to-be-done, SMART)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Disposer d'un outil edtech IA RGPD-conforme, signable sans risque juridique.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Tarification previsible par eleve / par an (pas de surprise au renouvellement).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Adhesion d'au moins 30 % des profs des la 1re annee (sinon echec budgetaire).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Pouvoir afficher au CA une avance credible sur l'IA pedagogique.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3.6. Criteres de succes personnels (point de vue persona)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le DPO valide les CGV en 30 min de lecture, c'est un signal positif.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5 profs me demandent spontanement d'elargir l'usage, je signe le renouvellement.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je peux dire au CA qu'on est en avance sur l'IA sans mentir, c'est gagne. »</w:t>
      </w:r>
    </w:p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4. Anti-personas (qui n'est PAS cible)</w:t>
      </w:r>
    </w:p>
    <w:tbl>
      <w:tblPr>
        <w:tblW w:w="1031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color="auto" w:fill="EEF2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 w:val="false"/>
                <w:i/>
                <w:color w:val="334155"/>
                <w:sz w:val="19"/>
              </w:rPr>
              <w:t>Objectif : clarifier qui le produit NE SERT PAS volontairement. Indispensable pour trancher les arbitrages MoSCoW : si une feature ne sert que des non-cibles, c'est un Won't have.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4.1. Anti-persona du persona Etudiant</w:t>
      </w:r>
    </w:p>
    <w:p>
      <w:pPr>
        <w:pStyle w:val="Normal"/>
        <w:spacing w:before="0" w:after="60"/>
        <w:rPr/>
      </w:pPr>
      <w:r>
        <w:rPr>
          <w:b w:val="false"/>
          <w:i w:val="false"/>
          <w:sz w:val="21"/>
        </w:rPr>
        <w:t>Eleve de primaire ou college (&lt; 15 ans). EduTutor exige un cours fourni au format PDF ou texte de niveau superieur. L'autonomie necessaire (uploader, contextualiser, interpreter) n'est pas alignee avec ce profil. Ne pas chercher a les attirer.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4.2. Anti-persona du persona Enseignant</w:t>
      </w:r>
    </w:p>
    <w:p>
      <w:pPr>
        <w:pStyle w:val="Normal"/>
        <w:spacing w:before="0" w:after="60"/>
        <w:rPr/>
      </w:pPr>
      <w:r>
        <w:rPr>
          <w:b w:val="false"/>
          <w:i w:val="false"/>
          <w:sz w:val="21"/>
        </w:rPr>
        <w:t>Enseignant·e du primaire ou retraite·e en autoformation. Le besoin de generer des supports d'evaluation a grande echelle (28 etudiants x 3 quiz) n'existe pas dans ces contextes. Ne pas chercher a elargir l'offre.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4.3. Anti-persona du persona Etablissement</w:t>
      </w:r>
    </w:p>
    <w:p>
      <w:pPr>
        <w:pStyle w:val="Normal"/>
        <w:spacing w:before="0" w:after="60"/>
        <w:rPr/>
      </w:pPr>
      <w:r>
        <w:rPr>
          <w:b w:val="false"/>
          <w:i w:val="false"/>
          <w:sz w:val="21"/>
        </w:rPr>
        <w:t>Ecole internationale tournee vers OpenAI / Anthropic, sans contrainte RGPD. Notre differenciation est precisement le local-first et la souverainete des donnees. Une ecole qui valorise un partenariat OpenAI n'achetera jamais EduTutor : ce n'est pas un marche a courir.</w:t>
      </w:r>
    </w:p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Grille d'auto-evaluation</w:t>
      </w:r>
    </w:p>
    <w:p>
      <w:pPr>
        <w:pStyle w:val="Normal"/>
        <w:spacing w:before="0" w:after="60"/>
        <w:rPr/>
      </w:pPr>
      <w:r>
        <w:rPr>
          <w:b w:val="false"/>
          <w:i/>
          <w:color w:val="64748B"/>
          <w:sz w:val="19"/>
        </w:rPr>
        <w:t>A remplir par l'equipe avant de soumettre le livrable au Product Owner.</w:t>
      </w:r>
    </w:p>
    <w:tbl>
      <w:tblPr>
        <w:tblStyle w:val="LightGrid-Accent1"/>
        <w:tblW w:w="1031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37"/>
        <w:gridCol w:w="3437"/>
        <w:gridCol w:w="3437"/>
      </w:tblGrid>
      <w:tr>
        <w:trPr/>
        <w:tc>
          <w:tcPr>
            <w:tcW w:w="3437" w:type="dxa"/>
            <w:tcBorders>
              <w:bottom w:val="single" w:sz="18" w:space="0" w:color="4F81BD"/>
            </w:tcBorders>
            <w:shd w:color="auto" w:fill="4F46E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i w:val="false"/>
                <w:color w:val="FFFFFF"/>
                <w:kern w:val="0"/>
                <w:sz w:val="19"/>
                <w:szCs w:val="22"/>
                <w:lang w:val="en-US" w:eastAsia="en-US" w:bidi="ar-SA"/>
              </w:rPr>
              <w:t>Critere qualite</w:t>
            </w:r>
          </w:p>
        </w:tc>
        <w:tc>
          <w:tcPr>
            <w:tcW w:w="3437" w:type="dxa"/>
            <w:tcBorders>
              <w:bottom w:val="single" w:sz="18" w:space="0" w:color="4F81BD"/>
            </w:tcBorders>
            <w:shd w:color="auto" w:fill="4F46E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i w:val="false"/>
                <w:color w:val="FFFFFF"/>
                <w:kern w:val="0"/>
                <w:sz w:val="19"/>
                <w:szCs w:val="22"/>
                <w:lang w:val="en-US" w:eastAsia="en-US" w:bidi="ar-SA"/>
              </w:rPr>
              <w:t>Auto-eval</w:t>
            </w:r>
          </w:p>
        </w:tc>
        <w:tc>
          <w:tcPr>
            <w:tcW w:w="3437" w:type="dxa"/>
            <w:tcBorders>
              <w:bottom w:val="single" w:sz="18" w:space="0" w:color="4F81BD"/>
            </w:tcBorders>
            <w:shd w:color="auto" w:fill="4F46E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i w:val="false"/>
                <w:color w:val="FFFFFF"/>
                <w:kern w:val="0"/>
                <w:sz w:val="19"/>
                <w:szCs w:val="22"/>
                <w:lang w:val="en-US" w:eastAsia="en-US" w:bidi="ar-SA"/>
              </w:rPr>
              <w:t>Commentaire / preuve</w:t>
            </w:r>
          </w:p>
        </w:tc>
      </w:tr>
      <w:tr>
        <w:trPr/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Les 3 personas sont nommees concretement (prenom + nom + age precis).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Chaque persona comporte les 6 dimensions completees.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 contexte precise un volume horaire et un environnement physique (lieu, materiel).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Les competences numeriques sont nuancees (pas juste « bon en info »).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Les frustrations sont chiffrees au moins 3 fois sur 5 par persona.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Les objectifs respectent au moins partiellement le format SMART.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Les criteres de succes sont formules au point de vue persona (au « je »).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Les 3 anti-personas sont decrits avec justification.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 document a ete relu et valide par l'equipe complete.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References et conventions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Cours Agile/Scrum (M. EL AFRIT) : mohamedelafrit.com/teaching/Master_Classe_Agile/cours.html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Roman Pichler — Pragmatic Personas : romanpichler.com/blog/pragmatic-personas-and-personas-in-a-nutshell/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Nielsen Norman Group — Personas : nngroup.com/articles/persona/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Versionnement : v1.0 initiale · v1.1 revision PO · v2.0 revision majeure post-perturbation ; chaque version commitee separement avec un message Git explicite.</w:t>
      </w:r>
    </w:p>
    <w:sectPr>
      <w:type w:val="nextPage"/>
      <w:pgSz w:w="12240" w:h="15840"/>
      <w:pgMar w:left="964" w:right="964" w:gutter="0" w:header="0" w:top="794" w:footer="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LibreOffice/26.2.0.3$Linux_X86_64 LibreOffice_project/620$Build-3</Application>
  <AppVersion>15.0000</AppVersion>
  <Pages>5</Pages>
  <Words>1726</Words>
  <Characters>9159</Characters>
  <CharactersWithSpaces>10646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2026-06-29T16:46:41Z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