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268" w:after="200"/>
        <w:jc w:val="center"/>
        <w:rPr/>
      </w:pPr>
      <w:r>
        <w:rPr>
          <w:b/>
          <w:color w:val="1E1B4B"/>
          <w:sz w:val="144"/>
        </w:rPr>
        <w:t>A</w:t>
      </w:r>
    </w:p>
    <w:p>
      <w:pPr>
        <w:pStyle w:val="Normal"/>
        <w:jc w:val="center"/>
        <w:rPr/>
      </w:pPr>
      <w:r>
        <w:rPr>
          <w:rFonts w:ascii="Calibri" w:hAnsi="Calibri"/>
          <w:b/>
          <w:color w:val="1E1B4B"/>
          <w:sz w:val="28"/>
        </w:rPr>
        <w:t>APOCAL'IPSSI</w:t>
      </w:r>
    </w:p>
    <w:p>
      <w:pPr>
        <w:pStyle w:val="Normal"/>
        <w:spacing w:before="1701" w:after="200"/>
        <w:jc w:val="center"/>
        <w:rPr/>
      </w:pPr>
      <w:r>
        <w:rPr>
          <w:b/>
          <w:color w:val="F59E0B"/>
          <w:sz w:val="20"/>
        </w:rPr>
        <w:t>PERTURBATION · J1 (PRODUIT) · NOTE DE DÉCISION</w:t>
      </w:r>
    </w:p>
    <w:p>
      <w:pPr>
        <w:pStyle w:val="Normal"/>
        <w:jc w:val="center"/>
        <w:rPr/>
      </w:pPr>
      <w:r>
        <w:rPr>
          <w:b/>
          <w:color w:val="1E1B4B"/>
          <w:sz w:val="64"/>
        </w:rPr>
        <w:t>Note de décision MoSCoW</w:t>
      </w:r>
    </w:p>
    <w:p>
      <w:pPr>
        <w:pStyle w:val="Normal"/>
        <w:spacing w:before="170" w:after="200"/>
        <w:jc w:val="center"/>
        <w:rPr/>
      </w:pPr>
      <w:r>
        <w:rPr>
          <w:i/>
          <w:color w:val="475569"/>
          <w:sz w:val="26"/>
        </w:rPr>
        <w:t>Cible enseignante en SHOULD pour la Release 1</w:t>
      </w:r>
    </w:p>
    <w:p>
      <w:pPr>
        <w:pStyle w:val="Normal"/>
        <w:spacing w:before="3969" w:after="200"/>
        <w:jc w:val="center"/>
        <w:rPr/>
      </w:pPr>
      <w:r>
        <w:rPr>
          <w:b/>
          <w:color w:val="475569"/>
          <w:sz w:val="22"/>
        </w:rPr>
        <w:t>Projet EduTutor IA · Édition 2026 · Semaine immersive Scrum</w:t>
      </w:r>
    </w:p>
    <w:p>
      <w:pPr>
        <w:pStyle w:val="Normal"/>
        <w:spacing w:before="113" w:after="200"/>
        <w:jc w:val="center"/>
        <w:rPr/>
      </w:pPr>
      <w:r>
        <w:rPr>
          <w:i/>
          <w:color w:val="475569"/>
          <w:sz w:val="18"/>
        </w:rPr>
        <w:t>Auteur : Mohamed Amine EL AFRIT · Licence CC BY-NC-SA 4.0</w:t>
      </w:r>
    </w:p>
    <w:p>
      <w:pPr>
        <w:pStyle w:val="Normal"/>
        <w:rPr/>
      </w:pPr>
      <w:r>
        <w:rPr/>
      </w:r>
      <w:r>
        <w:br w:type="page"/>
      </w:r>
    </w:p>
    <w:p>
      <w:pPr>
        <w:pStyle w:val="Normal"/>
        <w:spacing w:before="283" w:after="200"/>
        <w:rPr/>
      </w:pPr>
      <w:r>
        <w:rPr>
          <w:b/>
          <w:color w:val="F59E0B"/>
          <w:sz w:val="22"/>
        </w:rPr>
        <w:t>IDENTIFICATION DU DOCUMENT</w:t>
      </w:r>
    </w:p>
    <w:p>
      <w:pPr>
        <w:pStyle w:val="Normal"/>
        <w:rPr/>
      </w:pPr>
      <w:r>
        <w:rPr>
          <w:i/>
          <w:color w:val="475569"/>
          <w:sz w:val="20"/>
        </w:rPr>
        <w:t>À compléter par l'équipe avant chaque remise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single" w:sz="18" w:space="0" w:color="4F81BD"/>
            </w:tcBorders>
            <w:shd w:fill="F8FAFC"/>
            <w:vAlign w:val="center"/>
          </w:tcPr>
          <w:p>
            <w:pPr>
              <w:pStyle w:val="Normal"/>
              <w:widowControl w:val="false"/>
              <w:suppressAutoHyphens w:val="true"/>
              <w:spacing w:lineRule="auto" w:line="240" w:before="0" w:after="0"/>
              <w:jc w:val="left"/>
              <w:rPr>
                <w:rFonts w:ascii="Calibri" w:hAnsi="Calibri" w:eastAsia="ＭＳ ゴシック" w:cs=""/>
                <w:bCs/>
                <w:kern w:val="0"/>
                <w:szCs w:val="22"/>
                <w:lang w:val="en-US" w:eastAsia="en-US" w:bidi="ar-SA"/>
              </w:rPr>
            </w:pPr>
            <w:r>
              <w:rPr>
                <w:rFonts w:eastAsia="ＭＳ ゴシック" w:cs="" w:ascii="Calibri" w:hAnsi="Calibri"/>
                <w:b/>
                <w:bCs/>
                <w:kern w:val="0"/>
                <w:sz w:val="18"/>
                <w:szCs w:val="22"/>
                <w:lang w:val="en-US" w:eastAsia="en-US" w:bidi="ar-SA"/>
              </w:rPr>
              <w:t>Équipe n°</w:t>
            </w:r>
          </w:p>
        </w:tc>
        <w:tc>
          <w:tcPr>
            <w:tcW w:w="4319" w:type="dxa"/>
            <w:tcBorders>
              <w:bottom w:val="single" w:sz="18" w:space="0" w:color="4F81BD"/>
            </w:tcBorders>
            <w:vAlign w:val="center"/>
          </w:tcPr>
          <w:p>
            <w:pPr>
              <w:pStyle w:val="Normal"/>
              <w:widowControl w:val="false"/>
              <w:suppressAutoHyphens w:val="true"/>
              <w:spacing w:lineRule="auto" w:line="240" w:before="0" w:after="0"/>
              <w:jc w:val="left"/>
              <w:rPr>
                <w:rFonts w:ascii="Calibri" w:hAnsi="Calibri" w:eastAsia="ＭＳ ゴシック" w:cs=""/>
                <w:bCs/>
                <w:kern w:val="0"/>
                <w:szCs w:val="22"/>
                <w:lang w:val="en-US" w:eastAsia="en-US" w:bidi="ar-SA"/>
              </w:rPr>
            </w:pPr>
            <w:r>
              <w:rPr>
                <w:rFonts w:eastAsia="ＭＳ ゴシック" w:cs="" w:ascii="Calibri" w:hAnsi="Calibri"/>
                <w:b w:val="false"/>
                <w:bCs/>
                <w:kern w:val="0"/>
                <w:sz w:val="18"/>
                <w:szCs w:val="22"/>
                <w:lang w:val="en-US" w:eastAsia="en-US" w:bidi="ar-SA"/>
              </w:rPr>
              <w:t>29</w:t>
            </w:r>
          </w:p>
        </w:tc>
      </w:tr>
      <w:tr>
        <w:trPr/>
        <w:tc>
          <w:tcPr>
            <w:tcW w:w="4320" w:type="dxa"/>
            <w:tcBorders/>
            <w:shd w:fill="F8FAFC"/>
            <w:vAlign w:val="center"/>
          </w:tcPr>
          <w:p>
            <w:pPr>
              <w:pStyle w:val="Normal"/>
              <w:widowControl w:val="false"/>
              <w:suppressAutoHyphens w:val="true"/>
              <w:spacing w:lineRule="auto" w:line="240" w:before="0" w:after="0"/>
              <w:jc w:val="left"/>
              <w:rPr>
                <w:rFonts w:ascii="Calibri" w:hAnsi="Calibri" w:eastAsia="ＭＳ ゴシック" w:cs=""/>
                <w:bCs/>
                <w:kern w:val="0"/>
                <w:szCs w:val="22"/>
                <w:lang w:val="en-US" w:eastAsia="en-US" w:bidi="ar-SA"/>
              </w:rPr>
            </w:pPr>
            <w:r>
              <w:rPr>
                <w:rFonts w:eastAsia="ＭＳ ゴシック" w:cs="" w:ascii="Calibri" w:hAnsi="Calibri"/>
                <w:b/>
                <w:bCs/>
                <w:kern w:val="0"/>
                <w:sz w:val="18"/>
                <w:szCs w:val="22"/>
                <w:lang w:val="en-US" w:eastAsia="en-US" w:bidi="ar-SA"/>
              </w:rPr>
              <w:t>Membres</w:t>
            </w:r>
          </w:p>
        </w:tc>
        <w:tc>
          <w:tcPr>
            <w:tcW w:w="4319" w:type="dxa"/>
            <w:tcBorders/>
            <w:shd w:color="auto" w:fill="D3DFEE" w:themeFill="accent1" w:themeFillTint="3f" w:val="clear"/>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8"/>
                <w:szCs w:val="22"/>
                <w:lang w:val="en-US" w:eastAsia="en-US" w:bidi="ar-SA"/>
              </w:rPr>
              <w:t xml:space="preserve"> </w:t>
            </w:r>
            <w:r>
              <w:rPr>
                <w:rFonts w:eastAsia="ＭＳ 明朝" w:cs=""/>
                <w:b w:val="false"/>
                <w:kern w:val="0"/>
                <w:sz w:val="18"/>
                <w:szCs w:val="22"/>
                <w:lang w:val="en-US" w:eastAsia="en-US" w:bidi="ar-SA"/>
              </w:rPr>
              <w:t>Aurélie DEMURE</w:t>
            </w:r>
          </w:p>
        </w:tc>
      </w:tr>
      <w:tr>
        <w:trPr/>
        <w:tc>
          <w:tcPr>
            <w:tcW w:w="4320" w:type="dxa"/>
            <w:tcBorders/>
            <w:shd w:fill="F8FAFC"/>
            <w:vAlign w:val="center"/>
          </w:tcPr>
          <w:p>
            <w:pPr>
              <w:pStyle w:val="Normal"/>
              <w:widowControl w:val="false"/>
              <w:suppressAutoHyphens w:val="true"/>
              <w:spacing w:lineRule="auto" w:line="240" w:before="0" w:after="0"/>
              <w:jc w:val="left"/>
              <w:rPr>
                <w:rFonts w:ascii="Calibri" w:hAnsi="Calibri" w:eastAsia="ＭＳ ゴシック" w:cs=""/>
                <w:bCs/>
                <w:kern w:val="0"/>
                <w:szCs w:val="22"/>
                <w:lang w:val="en-US" w:eastAsia="en-US" w:bidi="ar-SA"/>
              </w:rPr>
            </w:pPr>
            <w:r>
              <w:rPr>
                <w:rFonts w:eastAsia="ＭＳ ゴシック" w:cs="" w:ascii="Calibri" w:hAnsi="Calibri"/>
                <w:b/>
                <w:bCs/>
                <w:kern w:val="0"/>
                <w:sz w:val="18"/>
                <w:szCs w:val="22"/>
                <w:lang w:val="en-US" w:eastAsia="en-US" w:bidi="ar-SA"/>
              </w:rPr>
              <w:t>Sprint concerné</w:t>
            </w:r>
          </w:p>
        </w:tc>
        <w:tc>
          <w:tcPr>
            <w:tcW w:w="4319" w:type="dxa"/>
            <w:tcBorders/>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8"/>
                <w:szCs w:val="22"/>
                <w:lang w:val="en-US" w:eastAsia="en-US" w:bidi="ar-SA"/>
              </w:rPr>
              <w:t>Cadrage J1 / Release 1</w:t>
            </w:r>
          </w:p>
        </w:tc>
      </w:tr>
      <w:tr>
        <w:trPr/>
        <w:tc>
          <w:tcPr>
            <w:tcW w:w="4320" w:type="dxa"/>
            <w:tcBorders/>
            <w:shd w:fill="F8FAFC"/>
            <w:vAlign w:val="center"/>
          </w:tcPr>
          <w:p>
            <w:pPr>
              <w:pStyle w:val="Normal"/>
              <w:widowControl w:val="false"/>
              <w:suppressAutoHyphens w:val="true"/>
              <w:spacing w:lineRule="auto" w:line="240" w:before="0" w:after="0"/>
              <w:jc w:val="left"/>
              <w:rPr>
                <w:rFonts w:ascii="Calibri" w:hAnsi="Calibri" w:eastAsia="ＭＳ ゴシック" w:cs=""/>
                <w:bCs/>
                <w:kern w:val="0"/>
                <w:szCs w:val="22"/>
                <w:lang w:val="en-US" w:eastAsia="en-US" w:bidi="ar-SA"/>
              </w:rPr>
            </w:pPr>
            <w:r>
              <w:rPr>
                <w:rFonts w:eastAsia="ＭＳ ゴシック" w:cs="" w:ascii="Calibri" w:hAnsi="Calibri"/>
                <w:b/>
                <w:bCs/>
                <w:kern w:val="0"/>
                <w:sz w:val="18"/>
                <w:szCs w:val="22"/>
                <w:lang w:val="en-US" w:eastAsia="en-US" w:bidi="ar-SA"/>
              </w:rPr>
              <w:t>Version</w:t>
            </w:r>
          </w:p>
        </w:tc>
        <w:tc>
          <w:tcPr>
            <w:tcW w:w="4319" w:type="dxa"/>
            <w:tcBorders/>
            <w:shd w:color="auto" w:fill="D3DFEE" w:themeFill="accent1" w:themeFillTint="3f" w:val="clear"/>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8"/>
                <w:szCs w:val="22"/>
                <w:lang w:val="en-US" w:eastAsia="en-US" w:bidi="ar-SA"/>
              </w:rPr>
              <w:t>v1.1 (post-perturbation Mme Lefèvre)</w:t>
            </w:r>
          </w:p>
        </w:tc>
      </w:tr>
      <w:tr>
        <w:trPr/>
        <w:tc>
          <w:tcPr>
            <w:tcW w:w="4320" w:type="dxa"/>
            <w:tcBorders/>
            <w:shd w:fill="F8FAFC"/>
            <w:vAlign w:val="center"/>
          </w:tcPr>
          <w:p>
            <w:pPr>
              <w:pStyle w:val="Normal"/>
              <w:widowControl w:val="false"/>
              <w:suppressAutoHyphens w:val="true"/>
              <w:spacing w:lineRule="auto" w:line="240" w:before="0" w:after="0"/>
              <w:jc w:val="left"/>
              <w:rPr>
                <w:rFonts w:ascii="Calibri" w:hAnsi="Calibri" w:eastAsia="ＭＳ ゴシック" w:cs=""/>
                <w:bCs/>
                <w:kern w:val="0"/>
                <w:szCs w:val="22"/>
                <w:lang w:val="en-US" w:eastAsia="en-US" w:bidi="ar-SA"/>
              </w:rPr>
            </w:pPr>
            <w:r>
              <w:rPr>
                <w:rFonts w:eastAsia="ＭＳ ゴシック" w:cs="" w:ascii="Calibri" w:hAnsi="Calibri"/>
                <w:b/>
                <w:bCs/>
                <w:kern w:val="0"/>
                <w:sz w:val="18"/>
                <w:szCs w:val="22"/>
                <w:lang w:val="en-US" w:eastAsia="en-US" w:bidi="ar-SA"/>
              </w:rPr>
              <w:t>Date de remise</w:t>
            </w:r>
          </w:p>
        </w:tc>
        <w:tc>
          <w:tcPr>
            <w:tcW w:w="4319" w:type="dxa"/>
            <w:tcBorders/>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8"/>
                <w:szCs w:val="22"/>
                <w:lang w:val="en-US" w:eastAsia="en-US" w:bidi="ar-SA"/>
              </w:rPr>
              <w:t>30/06/2026</w:t>
            </w:r>
          </w:p>
        </w:tc>
      </w:tr>
      <w:tr>
        <w:trPr/>
        <w:tc>
          <w:tcPr>
            <w:tcW w:w="4320" w:type="dxa"/>
            <w:tcBorders/>
            <w:shd w:fill="F8FAFC"/>
            <w:vAlign w:val="center"/>
          </w:tcPr>
          <w:p>
            <w:pPr>
              <w:pStyle w:val="Normal"/>
              <w:widowControl w:val="false"/>
              <w:suppressAutoHyphens w:val="true"/>
              <w:spacing w:lineRule="auto" w:line="240" w:before="0" w:after="0"/>
              <w:jc w:val="left"/>
              <w:rPr>
                <w:rFonts w:ascii="Calibri" w:hAnsi="Calibri" w:eastAsia="ＭＳ ゴシック" w:cs=""/>
                <w:bCs/>
                <w:kern w:val="0"/>
                <w:szCs w:val="22"/>
                <w:lang w:val="en-US" w:eastAsia="en-US" w:bidi="ar-SA"/>
              </w:rPr>
            </w:pPr>
            <w:r>
              <w:rPr>
                <w:rFonts w:eastAsia="ＭＳ ゴシック" w:cs="" w:ascii="Calibri" w:hAnsi="Calibri"/>
                <w:b/>
                <w:bCs/>
                <w:kern w:val="0"/>
                <w:sz w:val="18"/>
                <w:szCs w:val="22"/>
                <w:lang w:val="en-US" w:eastAsia="en-US" w:bidi="ar-SA"/>
              </w:rPr>
              <w:t>Statut</w:t>
            </w:r>
          </w:p>
        </w:tc>
        <w:tc>
          <w:tcPr>
            <w:tcW w:w="4319" w:type="dxa"/>
            <w:tcBorders/>
            <w:shd w:color="auto" w:fill="D3DFEE" w:themeFill="accent1" w:themeFillTint="3f" w:val="clear"/>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8"/>
                <w:szCs w:val="22"/>
                <w:lang w:val="en-US" w:eastAsia="en-US" w:bidi="ar-SA"/>
              </w:rPr>
              <w:t>En revue PO</w:t>
            </w:r>
          </w:p>
        </w:tc>
      </w:tr>
    </w:tbl>
    <w:p>
      <w:pPr>
        <w:pStyle w:val="Normal"/>
        <w:spacing w:before="283" w:after="200"/>
        <w:rPr/>
      </w:pPr>
      <w:r>
        <w:rPr>
          <w:b/>
          <w:color w:val="F59E0B"/>
          <w:sz w:val="18"/>
        </w:rPr>
        <w:t xml:space="preserve">💡 </w:t>
      </w:r>
      <w:r>
        <w:rPr>
          <w:b/>
          <w:color w:val="F59E0B"/>
          <w:sz w:val="18"/>
        </w:rPr>
        <w:t xml:space="preserve">Convention de nommage du fichier : </w:t>
      </w:r>
      <w:r>
        <w:rPr>
          <w:i/>
          <w:color w:val="475569"/>
          <w:sz w:val="18"/>
        </w:rPr>
        <w:t>equipe-XX-nom-document-vY.Z.docx  (ex. equipe-03-persona-v1.0.docx)</w:t>
      </w:r>
    </w:p>
    <w:p>
      <w:pPr>
        <w:pStyle w:val="Normal"/>
        <w:rPr/>
      </w:pPr>
      <w:r>
        <w:rPr/>
      </w:r>
      <w:r>
        <w:br w:type="page"/>
      </w:r>
    </w:p>
    <w:p>
      <w:pPr>
        <w:pStyle w:val="Normal"/>
        <w:rPr/>
      </w:pPr>
      <w:r>
        <w:rPr>
          <w:b/>
          <w:color w:val="1E1B4B"/>
          <w:sz w:val="36"/>
        </w:rPr>
        <w:t>Table des matières</w:t>
      </w:r>
    </w:p>
    <w:p>
      <w:pPr>
        <w:pStyle w:val="Normal"/>
        <w:rPr/>
      </w:pPr>
      <w:r>
        <w:rPr>
          <w:i/>
          <w:color w:val="475569"/>
          <w:sz w:val="18"/>
        </w:rPr>
        <w:t xml:space="preserve">👉 </w:t>
      </w:r>
      <w:r>
        <w:rPr>
          <w:i/>
          <w:color w:val="475569"/>
          <w:sz w:val="18"/>
        </w:rPr>
        <w:t>Une fois le document complété, faites clic droit sur la table ci-dessous puis « Mettre à jour les champs » (ou touche F9) pour générer les liens.</w:t>
      </w:r>
    </w:p>
    <w:sdt>
      <w:sdtPr>
        <w:docPartObj>
          <w:docPartGallery w:val="Table of Contents"/>
          <w:docPartUnique w:val="true"/>
        </w:docPartObj>
      </w:sdtPr>
      <w:sdtContent>
        <w:p>
          <w:pPr>
            <w:pStyle w:val="Contents1"/>
            <w:rPr/>
          </w:pPr>
          <w:r>
            <w:fldChar w:fldCharType="begin"/>
          </w:r>
          <w:r>
            <w:rPr>
              <w:webHidden/>
              <w:rStyle w:val="IndexLink"/>
              <w:vanish w:val="false"/>
            </w:rPr>
            <w:instrText xml:space="preserve"> TOC \z \o "1-3" \u \h</w:instrText>
          </w:r>
          <w:r>
            <w:rPr>
              <w:webHidden/>
              <w:rStyle w:val="IndexLink"/>
              <w:vanish w:val="false"/>
            </w:rPr>
            <w:fldChar w:fldCharType="separate"/>
          </w:r>
          <w:hyperlink w:anchor="__RefHeading___Toc11835_1316170329">
            <w:r>
              <w:rPr>
                <w:webHidden/>
                <w:rStyle w:val="IndexLink"/>
                <w:vanish w:val="false"/>
              </w:rPr>
              <w:t>Pourquoi cet artefact ?</w:t>
              <w:tab/>
              <w:t>5</w:t>
            </w:r>
          </w:hyperlink>
        </w:p>
        <w:p>
          <w:pPr>
            <w:pStyle w:val="Contents1"/>
            <w:rPr/>
          </w:pPr>
          <w:hyperlink w:anchor="__RefHeading___Toc11837_1316170329">
            <w:r>
              <w:rPr>
                <w:webHidden/>
                <w:rStyle w:val="IndexLink"/>
                <w:vanish w:val="false"/>
              </w:rPr>
              <w:t>1. Contexte de la décision</w:t>
              <w:tab/>
              <w:t>5</w:t>
            </w:r>
          </w:hyperlink>
        </w:p>
        <w:p>
          <w:pPr>
            <w:pStyle w:val="Contents2"/>
            <w:tabs>
              <w:tab w:val="clear" w:pos="8357"/>
              <w:tab w:val="right" w:pos="8640" w:leader="dot"/>
            </w:tabs>
            <w:rPr/>
          </w:pPr>
          <w:hyperlink w:anchor="__RefHeading___Toc11839_1316170329">
            <w:r>
              <w:rPr>
                <w:webHidden/>
                <w:rStyle w:val="IndexLink"/>
                <w:vanish w:val="false"/>
              </w:rPr>
              <w:t>1.1. Perturbation concernée</w:t>
              <w:tab/>
              <w:t>5</w:t>
            </w:r>
          </w:hyperlink>
        </w:p>
        <w:p>
          <w:pPr>
            <w:pStyle w:val="Contents2"/>
            <w:tabs>
              <w:tab w:val="clear" w:pos="8357"/>
              <w:tab w:val="right" w:pos="8640" w:leader="dot"/>
            </w:tabs>
            <w:rPr/>
          </w:pPr>
          <w:hyperlink w:anchor="__RefHeading___Toc11841_1316170329">
            <w:r>
              <w:rPr>
                <w:webHidden/>
                <w:rStyle w:val="IndexLink"/>
                <w:vanish w:val="false"/>
              </w:rPr>
              <w:t>1.2. Situation factuelle (résumé)</w:t>
              <w:tab/>
              <w:t>5</w:t>
            </w:r>
          </w:hyperlink>
        </w:p>
        <w:p>
          <w:pPr>
            <w:pStyle w:val="Contents1"/>
            <w:rPr/>
          </w:pPr>
          <w:hyperlink w:anchor="__RefHeading___Toc11843_1316170329">
            <w:r>
              <w:rPr>
                <w:webHidden/>
                <w:rStyle w:val="IndexLink"/>
                <w:vanish w:val="false"/>
              </w:rPr>
              <w:t>2. Tableau MoSCoW étendu (scoring effort × impact)</w:t>
              <w:tab/>
              <w:t>6</w:t>
            </w:r>
          </w:hyperlink>
        </w:p>
        <w:p>
          <w:pPr>
            <w:pStyle w:val="Contents1"/>
            <w:rPr/>
          </w:pPr>
          <w:hyperlink w:anchor="__RefHeading___Toc11845_1316170329">
            <w:r>
              <w:rPr>
                <w:webHidden/>
                <w:rStyle w:val="IndexLink"/>
                <w:vanish w:val="false"/>
              </w:rPr>
              <w:t>3. Contrepartie obligatoire (ce qui sort du sprint)</w:t>
              <w:tab/>
              <w:t>7</w:t>
            </w:r>
          </w:hyperlink>
        </w:p>
        <w:p>
          <w:pPr>
            <w:pStyle w:val="Contents2"/>
            <w:tabs>
              <w:tab w:val="clear" w:pos="8357"/>
              <w:tab w:val="right" w:pos="8640" w:leader="dot"/>
            </w:tabs>
            <w:rPr/>
          </w:pPr>
          <w:hyperlink w:anchor="__RefHeading___Toc11847_1316170329">
            <w:r>
              <w:rPr>
                <w:webHidden/>
                <w:rStyle w:val="IndexLink"/>
                <w:vanish w:val="false"/>
              </w:rPr>
              <w:t>3.1. Stories ajoutées / Stories reportées</w:t>
              <w:tab/>
              <w:t>8</w:t>
            </w:r>
          </w:hyperlink>
        </w:p>
        <w:p>
          <w:pPr>
            <w:pStyle w:val="Contents1"/>
            <w:rPr/>
          </w:pPr>
          <w:hyperlink w:anchor="__RefHeading___Toc11849_1316170329">
            <w:r>
              <w:rPr>
                <w:webHidden/>
                <w:rStyle w:val="IndexLink"/>
                <w:vanish w:val="false"/>
              </w:rPr>
              <w:t>4. Impact sur les Releases</w:t>
              <w:tab/>
              <w:t>8</w:t>
            </w:r>
          </w:hyperlink>
        </w:p>
        <w:p>
          <w:pPr>
            <w:pStyle w:val="Contents2"/>
            <w:tabs>
              <w:tab w:val="clear" w:pos="8357"/>
              <w:tab w:val="right" w:pos="8640" w:leader="dot"/>
            </w:tabs>
            <w:rPr/>
          </w:pPr>
          <w:hyperlink w:anchor="__RefHeading___Toc11851_1316170329">
            <w:r>
              <w:rPr>
                <w:webHidden/>
                <w:rStyle w:val="IndexLink"/>
                <w:vanish w:val="false"/>
              </w:rPr>
              <w:t>4.1. Release 1 (MVP mercredi 17h45)</w:t>
              <w:tab/>
              <w:t>8</w:t>
            </w:r>
          </w:hyperlink>
        </w:p>
        <w:p>
          <w:pPr>
            <w:pStyle w:val="Contents2"/>
            <w:tabs>
              <w:tab w:val="clear" w:pos="8357"/>
              <w:tab w:val="right" w:pos="8640" w:leader="dot"/>
            </w:tabs>
            <w:rPr/>
          </w:pPr>
          <w:hyperlink w:anchor="__RefHeading___Toc11853_1316170329">
            <w:r>
              <w:rPr>
                <w:webHidden/>
                <w:rStyle w:val="IndexLink"/>
                <w:vanish w:val="false"/>
              </w:rPr>
              <w:t>4.2. Release 2 (jeudi 17h45)</w:t>
              <w:tab/>
              <w:t>8</w:t>
            </w:r>
          </w:hyperlink>
        </w:p>
        <w:p>
          <w:pPr>
            <w:pStyle w:val="Contents2"/>
            <w:tabs>
              <w:tab w:val="clear" w:pos="8357"/>
              <w:tab w:val="right" w:pos="8640" w:leader="dot"/>
            </w:tabs>
            <w:rPr/>
          </w:pPr>
          <w:hyperlink w:anchor="__RefHeading___Toc11855_1316170329">
            <w:r>
              <w:rPr>
                <w:webHidden/>
                <w:rStyle w:val="IndexLink"/>
                <w:vanish w:val="false"/>
              </w:rPr>
              <w:t>4.3. Stories décalées au backlog post-soutenance</w:t>
              <w:tab/>
              <w:t>9</w:t>
            </w:r>
          </w:hyperlink>
        </w:p>
        <w:p>
          <w:pPr>
            <w:pStyle w:val="Contents1"/>
            <w:rPr/>
          </w:pPr>
          <w:hyperlink w:anchor="__RefHeading___Toc11857_1316170329">
            <w:r>
              <w:rPr>
                <w:webHidden/>
                <w:rStyle w:val="IndexLink"/>
                <w:vanish w:val="false"/>
              </w:rPr>
              <w:t>5. Validation Product Owner</w:t>
              <w:tab/>
              <w:t>9</w:t>
            </w:r>
          </w:hyperlink>
        </w:p>
        <w:p>
          <w:pPr>
            <w:pStyle w:val="Contents1"/>
            <w:rPr/>
          </w:pPr>
          <w:hyperlink w:anchor="__RefHeading___Toc11859_1316170329">
            <w:r>
              <w:rPr>
                <w:webHidden/>
                <w:rStyle w:val="IndexLink"/>
                <w:vanish w:val="false"/>
              </w:rPr>
              <w:t xml:space="preserve">✅ </w:t>
            </w:r>
            <w:r>
              <w:rPr>
                <w:rStyle w:val="IndexLink"/>
              </w:rPr>
              <w:t>Grille d'auto-évaluation</w:t>
              <w:tab/>
              <w:t>10</w:t>
            </w:r>
          </w:hyperlink>
        </w:p>
        <w:p>
          <w:pPr>
            <w:pStyle w:val="Contents1"/>
            <w:rPr/>
          </w:pPr>
          <w:hyperlink w:anchor="__RefHeading___Toc11861_1316170329">
            <w:r>
              <w:rPr>
                <w:webHidden/>
                <w:rStyle w:val="IndexLink"/>
                <w:vanish w:val="false"/>
              </w:rPr>
              <w:t xml:space="preserve">📚 </w:t>
            </w:r>
            <w:r>
              <w:rPr>
                <w:rStyle w:val="IndexLink"/>
              </w:rPr>
              <w:t>Références et conventions</w:t>
              <w:tab/>
              <w:t>11</w:t>
            </w:r>
          </w:hyperlink>
        </w:p>
        <w:p>
          <w:pPr>
            <w:pStyle w:val="Contents2"/>
            <w:tabs>
              <w:tab w:val="clear" w:pos="8357"/>
              <w:tab w:val="right" w:pos="8640" w:leader="dot"/>
            </w:tabs>
            <w:rPr/>
          </w:pPr>
          <w:hyperlink w:anchor="__RefHeading___Toc11863_1316170329">
            <w:r>
              <w:rPr>
                <w:webHidden/>
                <w:rStyle w:val="IndexLink"/>
                <w:vanish w:val="false"/>
              </w:rPr>
              <w:t>Références incontournables</w:t>
              <w:tab/>
              <w:t>11</w:t>
            </w:r>
          </w:hyperlink>
        </w:p>
        <w:p>
          <w:pPr>
            <w:pStyle w:val="Contents2"/>
            <w:tabs>
              <w:tab w:val="clear" w:pos="8357"/>
              <w:tab w:val="right" w:pos="8640" w:leader="dot"/>
            </w:tabs>
            <w:rPr/>
          </w:pPr>
          <w:hyperlink w:anchor="__RefHeading___Toc11865_1316170329">
            <w:r>
              <w:rPr>
                <w:webHidden/>
                <w:rStyle w:val="IndexLink"/>
                <w:vanish w:val="false"/>
              </w:rPr>
              <w:t>Références spécifiques à ce document</w:t>
              <w:tab/>
              <w:t>11</w:t>
            </w:r>
          </w:hyperlink>
        </w:p>
        <w:p>
          <w:pPr>
            <w:pStyle w:val="Contents2"/>
            <w:tabs>
              <w:tab w:val="clear" w:pos="8357"/>
              <w:tab w:val="right" w:pos="8640" w:leader="dot"/>
            </w:tabs>
            <w:rPr/>
          </w:pPr>
          <w:hyperlink w:anchor="__RefHeading___Toc11867_1316170329">
            <w:r>
              <w:rPr>
                <w:webHidden/>
                <w:rStyle w:val="IndexLink"/>
                <w:vanish w:val="false"/>
              </w:rPr>
              <w:t>Convention de versionnement</w:t>
              <w:tab/>
              <w:t>11</w:t>
            </w:r>
          </w:hyperlink>
          <w:r>
            <w:rPr>
              <w:rStyle w:val="IndexLink"/>
              <w:vanish w:val="false"/>
            </w:rPr>
            <w:fldChar w:fldCharType="end"/>
          </w:r>
        </w:p>
      </w:sdtContent>
    </w:sdt>
    <w:p>
      <w:pPr>
        <w:pStyle w:val="Normal"/>
        <w:widowControl/>
        <w:bidi w:val="0"/>
        <w:spacing w:lineRule="auto" w:line="276" w:before="0" w:after="200"/>
        <w:jc w:val="left"/>
        <w:rPr/>
      </w:pPr>
      <w:r>
        <w:rPr/>
      </w:r>
      <w:r>
        <w:br w:type="page"/>
      </w:r>
    </w:p>
    <w:p>
      <w:pPr>
        <w:pStyle w:val="Normal"/>
        <w:rPr/>
      </w:pPr>
      <w:r>
        <w:rPr>
          <w:b/>
          <w:color w:val="F59E0B"/>
          <w:sz w:val="18"/>
        </w:rPr>
        <w:t>PRÉAMBULE</w:t>
      </w:r>
    </w:p>
    <w:p>
      <w:pPr>
        <w:pStyle w:val="Heading1"/>
        <w:rPr/>
      </w:pPr>
      <w:r>
        <w:rPr>
          <w:color w:val="1E1B4B"/>
        </w:rPr>
        <w:t>Pourquoi cet artefact ?</w:t>
      </w:r>
    </w:p>
    <w:p>
      <w:pPr>
        <w:pStyle w:val="Normal"/>
        <w:rPr/>
      </w:pPr>
      <w:r>
        <w:rPr/>
        <w:t>Une note de décision MoSCoW formalise un arbitrage de priorisation. Sans note écrite, l'arbitrage devient un vœu pieux que personne ne respecte. Cette note est exigée chaque fois qu'une perturbation modifie le scope (perturbation J1 produit, J4 crise utilisateur) ou qu'une décision majeure doit être justifiée devant le Product Owner.</w:t>
      </w:r>
    </w:p>
    <w:p>
      <w:pPr>
        <w:pStyle w:val="Normal"/>
        <w:rPr/>
      </w:pPr>
      <w:r>
        <w:rPr/>
        <w:t>Ce modèle est pré-rempli avec un cas d'usage : la perturbation J1, qui voit l'arrivée de Mme Sophie Lefèvre (persona enseignante) avec des besoins métier spécifiques qui modifient le scope initialement prévu. Vous adapterez aux besoins concrets de votre équipe.</w:t>
      </w:r>
    </w:p>
    <w:p>
      <w:pPr>
        <w:pStyle w:val="Normal"/>
        <w:ind w:left="283" w:right="283" w:hanging="0"/>
        <w:rPr/>
      </w:pPr>
      <w:r>
        <w:rPr>
          <w:b/>
          <w:color w:val="F59E0B"/>
        </w:rPr>
        <w:t xml:space="preserve">💡 </w:t>
      </w:r>
      <w:r>
        <w:rPr>
          <w:b/>
          <w:color w:val="F59E0B"/>
        </w:rPr>
        <w:t xml:space="preserve">Mode d'emploi </w:t>
      </w:r>
      <w:r>
        <w:rPr>
          <w:b w:val="false"/>
          <w:bCs w:val="false"/>
          <w:i/>
          <w:color w:val="auto"/>
        </w:rPr>
        <w:t>La note MoSCoW se rédige À CHAUD, dès qu'une décision est prise, pas en fin de sprint « pour le dossier ». Elle se relit avec le PO en moins de 5 minutes. Si elle est plus longue, c'est qu'elle dérive en compte-rendu : à éviter.</w:t>
      </w:r>
    </w:p>
    <w:p>
      <w:pPr>
        <w:pStyle w:val="Heading1"/>
        <w:rPr/>
      </w:pPr>
      <w:bookmarkStart w:id="0" w:name="__RefHeading___Toc11837_1316170329"/>
      <w:bookmarkEnd w:id="0"/>
      <w:r>
        <w:rPr>
          <w:color w:val="1E1B4B"/>
        </w:rPr>
        <w:t>1. Contexte de la décision</w:t>
      </w:r>
    </w:p>
    <w:p>
      <w:pPr>
        <w:pStyle w:val="Normal"/>
        <w:spacing w:before="57" w:after="200"/>
        <w:ind w:left="227" w:right="227" w:hanging="0"/>
        <w:rPr>
          <w:b w:val="false"/>
          <w:b w:val="false"/>
          <w:bCs w:val="false"/>
          <w:color w:val="auto"/>
        </w:rPr>
      </w:pPr>
      <w:r>
        <w:rPr>
          <w:b w:val="false"/>
          <w:bCs w:val="false"/>
          <w:color w:val="auto"/>
          <w:sz w:val="18"/>
        </w:rPr>
        <w:t>La perturbation intervient après la démo de cadrage du matin, appréciée par le sponsor. Celui-ci demande d'intégrer Mme Sophie Lefèvre, 42 ans, enseignante en BTS Communication à Lyon, qui souhaite suivre ses 28 étudiants en révision d'examens.</w:t>
      </w:r>
    </w:p>
    <w:p>
      <w:pPr>
        <w:pStyle w:val="Normal"/>
        <w:ind w:left="227" w:right="227" w:hanging="0"/>
        <w:rPr>
          <w:b w:val="false"/>
          <w:b w:val="false"/>
          <w:bCs w:val="false"/>
          <w:color w:val="auto"/>
        </w:rPr>
      </w:pPr>
      <w:r>
        <w:rPr>
          <w:b w:val="false"/>
          <w:bCs w:val="false"/>
          <w:color w:val="auto"/>
          <w:sz w:val="18"/>
        </w:rPr>
        <w:t>Ses besoins exprimés sont : voir les scores, repérer les étudiants qui décrochent et leur envoyer des conseils. Ces besoins recoupent partiellement le MVP étudiant, notamment l'affichage des scores et l'historique des quiz.</w:t>
      </w:r>
    </w:p>
    <w:p>
      <w:pPr>
        <w:pStyle w:val="Normal"/>
        <w:ind w:left="227" w:right="227" w:hanging="0"/>
        <w:rPr/>
      </w:pPr>
      <w:r>
        <w:rPr>
          <w:b/>
          <w:color w:val="16A34A"/>
          <w:sz w:val="18"/>
        </w:rPr>
        <w:t>La décision doit donc arbitrer entre valeur pédagogique nouvelle et maintien de la capacité Release 1.</w:t>
      </w:r>
    </w:p>
    <w:p>
      <w:pPr>
        <w:pStyle w:val="Normal"/>
        <w:ind w:left="227" w:right="227" w:hanging="0"/>
        <w:rPr/>
      </w:pPr>
      <w:r>
        <w:rPr/>
      </w:r>
    </w:p>
    <w:p>
      <w:pPr>
        <w:pStyle w:val="Heading2"/>
        <w:rPr/>
      </w:pPr>
      <w:bookmarkStart w:id="1" w:name="__RefHeading___Toc11839_1316170329"/>
      <w:bookmarkEnd w:id="1"/>
      <w:r>
        <w:rPr>
          <w:color w:val="1E1B4B"/>
        </w:rPr>
        <w:t>1.1. Perturbation concernée</w:t>
      </w:r>
    </w:p>
    <w:p>
      <w:pPr>
        <w:pStyle w:val="Normal"/>
        <w:rPr/>
      </w:pPr>
      <w:r>
        <w:rPr>
          <w:b/>
        </w:rPr>
        <w:t>Perturbation : J1, Mme Sophie Lefèvre, cible enseignante secondaire demandée par le sponsor.</w:t>
      </w:r>
    </w:p>
    <w:p>
      <w:pPr>
        <w:pStyle w:val="Normal"/>
        <w:rPr/>
      </w:pPr>
      <w:r>
        <w:rPr>
          <w:b/>
        </w:rPr>
        <w:t>Date d'émission de la note : 29/06/2026</w:t>
      </w:r>
    </w:p>
    <w:p>
      <w:pPr>
        <w:pStyle w:val="Normal"/>
        <w:rPr/>
      </w:pPr>
      <w:r>
        <w:rPr>
          <w:b/>
        </w:rPr>
        <w:t>Rédactrice : Aurélie DEMURE, équipe 29</w:t>
      </w:r>
    </w:p>
    <w:p>
      <w:pPr>
        <w:pStyle w:val="Heading2"/>
        <w:rPr/>
      </w:pPr>
      <w:bookmarkStart w:id="2" w:name="__RefHeading___Toc11841_1316170329"/>
      <w:bookmarkEnd w:id="2"/>
      <w:r>
        <w:rPr>
          <w:color w:val="1E1B4B"/>
        </w:rPr>
        <w:t>1.2. Situation factuelle (résumé)</w:t>
      </w:r>
    </w:p>
    <w:p>
      <w:pPr>
        <w:pStyle w:val="Normal"/>
        <w:rPr/>
      </w:pPr>
      <w:r>
        <w:rPr/>
        <w:t>Mme Sophie Lefèvre souhaite utiliser EduTutor IA avec une classe de 28 étudiants de BTS Communication pour suivre leur progression en révision d'examens. Le Product Vision Board identifie déjà les enseignants comme cible secondaire ; la perturbation rend cette cible prioritaire à cadrer dès la Release 1.</w:t>
      </w:r>
    </w:p>
    <w:p>
      <w:pPr>
        <w:pStyle w:val="ListBullet"/>
        <w:numPr>
          <w:ilvl w:val="0"/>
          <w:numId w:val="1"/>
        </w:numPr>
        <w:rPr/>
      </w:pPr>
      <w:r>
        <w:rPr/>
        <w:t>5 besoins / user stories enseignantes identifiés : créer une classe, rattacher les étudiants, consulter les scores, repérer les décrochages, envoyer ou préparer un conseil ciblé.</w:t>
      </w:r>
    </w:p>
    <w:p>
      <w:pPr>
        <w:pStyle w:val="ListBullet"/>
        <w:numPr>
          <w:ilvl w:val="0"/>
          <w:numId w:val="1"/>
        </w:numPr>
        <w:rPr/>
      </w:pPr>
      <w:r>
        <w:rPr/>
        <w:t>2 besoins chevauchent le MVP étudiant existant : score détaillé (US-05) et historique des quiz (US-06).</w:t>
      </w:r>
    </w:p>
    <w:p>
      <w:pPr>
        <w:pStyle w:val="ListBullet"/>
        <w:numPr>
          <w:ilvl w:val="0"/>
          <w:numId w:val="1"/>
        </w:numPr>
        <w:rPr/>
      </w:pPr>
      <w:r>
        <w:rPr/>
        <w:t>Effort additionnel retenu pour une tranche minimale Release 1 : 8 SP, en réutilisant les données déjà produites par le MVP.</w:t>
      </w:r>
    </w:p>
    <w:p>
      <w:pPr>
        <w:pStyle w:val="ListBullet"/>
        <w:numPr>
          <w:ilvl w:val="0"/>
          <w:numId w:val="1"/>
        </w:numPr>
        <w:rPr/>
      </w:pPr>
      <w:r>
        <w:rPr/>
        <w:t>Capacité S1-S5 : 35 SP. L'ajout n'est accepté que si P7 et P9 du catalogue sont sacrifiés / reportés.</w:t>
      </w:r>
    </w:p>
    <w:p>
      <w:pPr>
        <w:pStyle w:val="Normal"/>
        <w:rPr/>
      </w:pPr>
      <w:r>
        <w:rPr/>
        <w:t>Conclusion factuelle : intégrer toute la cible enseignante serait trop lourd ; intégrer une tranche de suivi enseignant minimale est possible et défendable en SHOULD.</w:t>
      </w:r>
    </w:p>
    <w:p>
      <w:pPr>
        <w:pStyle w:val="Heading1"/>
        <w:rPr/>
      </w:pPr>
      <w:bookmarkStart w:id="3" w:name="__RefHeading___Toc11843_1316170329"/>
      <w:bookmarkEnd w:id="3"/>
      <w:r>
        <w:rPr>
          <w:color w:val="1E1B4B"/>
        </w:rPr>
        <w:t>2. Tableau MoSCoW étendu (scoring effort × impact)</w:t>
      </w:r>
    </w:p>
    <w:p>
      <w:pPr>
        <w:pStyle w:val="Normal"/>
        <w:spacing w:before="57" w:after="200"/>
        <w:ind w:left="227" w:right="227" w:hanging="0"/>
        <w:rPr>
          <w:b w:val="false"/>
          <w:b w:val="false"/>
          <w:bCs w:val="false"/>
          <w:color w:val="auto"/>
        </w:rPr>
      </w:pPr>
      <w:r>
        <w:rPr>
          <w:b w:val="false"/>
          <w:bCs w:val="false"/>
          <w:color w:val="auto"/>
          <w:sz w:val="18"/>
        </w:rPr>
        <w:t>Le tableau ci-dessous tranche les stories candidates liées à Mme Lefèvre. Le score conserve la formule du modèle : (Impact × 10) / Effort.</w:t>
      </w:r>
    </w:p>
    <w:p>
      <w:pPr>
        <w:pStyle w:val="Normal"/>
        <w:ind w:left="227" w:right="227" w:hanging="0"/>
        <w:rPr>
          <w:b w:val="false"/>
          <w:b w:val="false"/>
          <w:bCs w:val="false"/>
          <w:color w:val="auto"/>
        </w:rPr>
      </w:pPr>
      <w:r>
        <w:rPr>
          <w:b w:val="false"/>
          <w:bCs w:val="false"/>
          <w:color w:val="auto"/>
          <w:sz w:val="18"/>
        </w:rPr>
        <w:t>La logique retenue : maximiser les fonctionnalités qui réutilisent les données du MVP étudiant et différer les fonctions qui nécessitent une messagerie ou un module enseignant complet.</w:t>
      </w:r>
    </w:p>
    <w:p>
      <w:pPr>
        <w:pStyle w:val="Normal"/>
        <w:ind w:left="227" w:right="227" w:hanging="0"/>
        <w:rPr>
          <w:b w:val="false"/>
          <w:b w:val="false"/>
          <w:bCs w:val="false"/>
          <w:color w:val="auto"/>
        </w:rPr>
      </w:pPr>
      <w:r>
        <w:rPr>
          <w:b w:val="false"/>
          <w:bCs w:val="false"/>
          <w:color w:val="auto"/>
        </w:rPr>
      </w:r>
    </w:p>
    <w:p>
      <w:pPr>
        <w:pStyle w:val="Normal"/>
        <w:ind w:left="227" w:right="227" w:hanging="0"/>
        <w:rPr/>
      </w:pPr>
      <w:r>
        <w:rPr/>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440"/>
        <w:gridCol w:w="1439"/>
        <w:gridCol w:w="1441"/>
        <w:gridCol w:w="1440"/>
        <w:gridCol w:w="1439"/>
        <w:gridCol w:w="1440"/>
      </w:tblGrid>
      <w:tr>
        <w:trPr/>
        <w:tc>
          <w:tcPr>
            <w:tcW w:w="1440" w:type="dxa"/>
            <w:tcBorders>
              <w:bottom w:val="single" w:sz="18" w:space="0" w:color="4F81BD"/>
            </w:tcBorders>
            <w:shd w:fill="D9EAF7"/>
            <w:vAlign w:val="center"/>
          </w:tcPr>
          <w:p>
            <w:pPr>
              <w:pStyle w:val="Normal"/>
              <w:widowControl w:val="false"/>
              <w:suppressAutoHyphens w:val="true"/>
              <w:spacing w:lineRule="auto" w:line="240" w:before="0" w:after="0"/>
              <w:jc w:val="left"/>
              <w:rPr>
                <w:rFonts w:ascii="Calibri" w:hAnsi="Calibri" w:eastAsia="ＭＳ ゴシック" w:cs=""/>
                <w:bCs/>
                <w:kern w:val="0"/>
                <w:szCs w:val="22"/>
                <w:lang w:val="en-US" w:eastAsia="en-US" w:bidi="ar-SA"/>
              </w:rPr>
            </w:pPr>
            <w:r>
              <w:rPr>
                <w:rFonts w:eastAsia="ＭＳ ゴシック" w:cs="" w:ascii="Calibri" w:hAnsi="Calibri"/>
                <w:b/>
                <w:bCs/>
                <w:kern w:val="0"/>
                <w:sz w:val="18"/>
                <w:szCs w:val="22"/>
                <w:lang w:val="en-US" w:eastAsia="en-US" w:bidi="ar-SA"/>
              </w:rPr>
              <w:t>Story candidate</w:t>
            </w:r>
          </w:p>
        </w:tc>
        <w:tc>
          <w:tcPr>
            <w:tcW w:w="1439" w:type="dxa"/>
            <w:tcBorders>
              <w:bottom w:val="single" w:sz="18" w:space="0" w:color="4F81BD"/>
            </w:tcBorders>
            <w:shd w:fill="D9EAF7"/>
            <w:vAlign w:val="center"/>
          </w:tcPr>
          <w:p>
            <w:pPr>
              <w:pStyle w:val="Normal"/>
              <w:widowControl w:val="false"/>
              <w:suppressAutoHyphens w:val="true"/>
              <w:spacing w:lineRule="auto" w:line="240" w:before="0" w:after="0"/>
              <w:jc w:val="left"/>
              <w:rPr>
                <w:rFonts w:ascii="Calibri" w:hAnsi="Calibri" w:eastAsia="ＭＳ ゴシック" w:cs=""/>
                <w:bCs/>
                <w:kern w:val="0"/>
                <w:szCs w:val="22"/>
                <w:lang w:val="en-US" w:eastAsia="en-US" w:bidi="ar-SA"/>
              </w:rPr>
            </w:pPr>
            <w:r>
              <w:rPr>
                <w:rFonts w:eastAsia="ＭＳ ゴシック" w:cs="" w:ascii="Calibri" w:hAnsi="Calibri"/>
                <w:b/>
                <w:bCs/>
                <w:kern w:val="0"/>
                <w:sz w:val="18"/>
                <w:szCs w:val="22"/>
                <w:lang w:val="en-US" w:eastAsia="en-US" w:bidi="ar-SA"/>
              </w:rPr>
              <w:t>Niveau</w:t>
            </w:r>
          </w:p>
        </w:tc>
        <w:tc>
          <w:tcPr>
            <w:tcW w:w="1441" w:type="dxa"/>
            <w:tcBorders>
              <w:bottom w:val="single" w:sz="18" w:space="0" w:color="4F81BD"/>
            </w:tcBorders>
            <w:shd w:fill="D9EAF7"/>
            <w:vAlign w:val="center"/>
          </w:tcPr>
          <w:p>
            <w:pPr>
              <w:pStyle w:val="Normal"/>
              <w:widowControl w:val="false"/>
              <w:suppressAutoHyphens w:val="true"/>
              <w:spacing w:lineRule="auto" w:line="240" w:before="0" w:after="0"/>
              <w:jc w:val="left"/>
              <w:rPr>
                <w:rFonts w:ascii="Calibri" w:hAnsi="Calibri" w:eastAsia="ＭＳ ゴシック" w:cs=""/>
                <w:bCs/>
                <w:kern w:val="0"/>
                <w:szCs w:val="22"/>
                <w:lang w:val="en-US" w:eastAsia="en-US" w:bidi="ar-SA"/>
              </w:rPr>
            </w:pPr>
            <w:r>
              <w:rPr>
                <w:rFonts w:eastAsia="ＭＳ ゴシック" w:cs="" w:ascii="Calibri" w:hAnsi="Calibri"/>
                <w:b/>
                <w:bCs/>
                <w:kern w:val="0"/>
                <w:sz w:val="18"/>
                <w:szCs w:val="22"/>
                <w:lang w:val="en-US" w:eastAsia="en-US" w:bidi="ar-SA"/>
              </w:rPr>
              <w:t>Effort (SP)</w:t>
            </w:r>
          </w:p>
        </w:tc>
        <w:tc>
          <w:tcPr>
            <w:tcW w:w="1440" w:type="dxa"/>
            <w:tcBorders>
              <w:bottom w:val="single" w:sz="18" w:space="0" w:color="4F81BD"/>
            </w:tcBorders>
            <w:shd w:fill="D9EAF7"/>
            <w:vAlign w:val="center"/>
          </w:tcPr>
          <w:p>
            <w:pPr>
              <w:pStyle w:val="Normal"/>
              <w:widowControl w:val="false"/>
              <w:suppressAutoHyphens w:val="true"/>
              <w:spacing w:lineRule="auto" w:line="240" w:before="0" w:after="0"/>
              <w:jc w:val="left"/>
              <w:rPr>
                <w:rFonts w:ascii="Calibri" w:hAnsi="Calibri" w:eastAsia="ＭＳ ゴシック" w:cs=""/>
                <w:bCs/>
                <w:kern w:val="0"/>
                <w:szCs w:val="22"/>
                <w:lang w:val="en-US" w:eastAsia="en-US" w:bidi="ar-SA"/>
              </w:rPr>
            </w:pPr>
            <w:r>
              <w:rPr>
                <w:rFonts w:eastAsia="ＭＳ ゴシック" w:cs="" w:ascii="Calibri" w:hAnsi="Calibri"/>
                <w:b/>
                <w:bCs/>
                <w:kern w:val="0"/>
                <w:sz w:val="18"/>
                <w:szCs w:val="22"/>
                <w:lang w:val="en-US" w:eastAsia="en-US" w:bidi="ar-SA"/>
              </w:rPr>
              <w:t>Impact (1-5)</w:t>
            </w:r>
          </w:p>
        </w:tc>
        <w:tc>
          <w:tcPr>
            <w:tcW w:w="1439" w:type="dxa"/>
            <w:tcBorders>
              <w:bottom w:val="single" w:sz="18" w:space="0" w:color="4F81BD"/>
            </w:tcBorders>
            <w:shd w:fill="D9EAF7"/>
            <w:vAlign w:val="center"/>
          </w:tcPr>
          <w:p>
            <w:pPr>
              <w:pStyle w:val="Normal"/>
              <w:widowControl w:val="false"/>
              <w:suppressAutoHyphens w:val="true"/>
              <w:spacing w:lineRule="auto" w:line="240" w:before="0" w:after="0"/>
              <w:jc w:val="left"/>
              <w:rPr>
                <w:rFonts w:ascii="Calibri" w:hAnsi="Calibri" w:eastAsia="ＭＳ ゴシック" w:cs=""/>
                <w:bCs/>
                <w:kern w:val="0"/>
                <w:szCs w:val="22"/>
                <w:lang w:val="en-US" w:eastAsia="en-US" w:bidi="ar-SA"/>
              </w:rPr>
            </w:pPr>
            <w:r>
              <w:rPr>
                <w:rFonts w:eastAsia="ＭＳ ゴシック" w:cs="" w:ascii="Calibri" w:hAnsi="Calibri"/>
                <w:b/>
                <w:bCs/>
                <w:kern w:val="0"/>
                <w:sz w:val="18"/>
                <w:szCs w:val="22"/>
                <w:lang w:val="en-US" w:eastAsia="en-US" w:bidi="ar-SA"/>
              </w:rPr>
              <w:t>Score</w:t>
            </w:r>
          </w:p>
        </w:tc>
        <w:tc>
          <w:tcPr>
            <w:tcW w:w="1440" w:type="dxa"/>
            <w:tcBorders>
              <w:bottom w:val="single" w:sz="18" w:space="0" w:color="4F81BD"/>
            </w:tcBorders>
            <w:shd w:fill="D9EAF7"/>
            <w:vAlign w:val="center"/>
          </w:tcPr>
          <w:p>
            <w:pPr>
              <w:pStyle w:val="Normal"/>
              <w:widowControl w:val="false"/>
              <w:suppressAutoHyphens w:val="true"/>
              <w:spacing w:lineRule="auto" w:line="240" w:before="0" w:after="0"/>
              <w:jc w:val="left"/>
              <w:rPr>
                <w:rFonts w:ascii="Calibri" w:hAnsi="Calibri" w:eastAsia="ＭＳ ゴシック" w:cs=""/>
                <w:bCs/>
                <w:kern w:val="0"/>
                <w:szCs w:val="22"/>
                <w:lang w:val="en-US" w:eastAsia="en-US" w:bidi="ar-SA"/>
              </w:rPr>
            </w:pPr>
            <w:r>
              <w:rPr>
                <w:rFonts w:eastAsia="ＭＳ ゴシック" w:cs="" w:ascii="Calibri" w:hAnsi="Calibri"/>
                <w:b/>
                <w:bCs/>
                <w:kern w:val="0"/>
                <w:sz w:val="18"/>
                <w:szCs w:val="22"/>
                <w:lang w:val="en-US" w:eastAsia="en-US" w:bidi="ar-SA"/>
              </w:rPr>
              <w:t>Justification</w:t>
            </w:r>
          </w:p>
        </w:tc>
      </w:tr>
      <w:tr>
        <w:trPr/>
        <w:tc>
          <w:tcPr>
            <w:tcW w:w="1440" w:type="dxa"/>
            <w:tcBorders/>
            <w:shd w:color="auto" w:fill="D3DFEE" w:themeFill="accent1" w:themeFillTint="3f" w:val="clear"/>
            <w:vAlign w:val="center"/>
          </w:tcPr>
          <w:p>
            <w:pPr>
              <w:pStyle w:val="Normal"/>
              <w:widowControl w:val="false"/>
              <w:suppressAutoHyphens w:val="true"/>
              <w:spacing w:lineRule="auto" w:line="240" w:before="0" w:after="0"/>
              <w:jc w:val="left"/>
              <w:rPr>
                <w:rFonts w:ascii="Calibri" w:hAnsi="Calibri" w:eastAsia="ＭＳ ゴシック" w:cs=""/>
                <w:bCs/>
                <w:kern w:val="0"/>
                <w:szCs w:val="22"/>
                <w:lang w:val="en-US" w:eastAsia="en-US" w:bidi="ar-SA"/>
              </w:rPr>
            </w:pPr>
            <w:r>
              <w:rPr>
                <w:rFonts w:eastAsia="ＭＳ ゴシック" w:cs="" w:ascii="Calibri" w:hAnsi="Calibri"/>
                <w:b w:val="false"/>
                <w:bCs/>
                <w:kern w:val="0"/>
                <w:sz w:val="17"/>
                <w:szCs w:val="22"/>
                <w:lang w:val="en-US" w:eastAsia="en-US" w:bidi="ar-SA"/>
              </w:rPr>
              <w:t>Décision globale : cible enseignante en Release 1</w:t>
            </w:r>
          </w:p>
        </w:tc>
        <w:tc>
          <w:tcPr>
            <w:tcW w:w="1439" w:type="dxa"/>
            <w:tcBorders/>
            <w:shd w:fill="FEF3C7"/>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7"/>
                <w:szCs w:val="22"/>
                <w:lang w:val="en-US" w:eastAsia="en-US" w:bidi="ar-SA"/>
              </w:rPr>
              <w:t>SHOULD</w:t>
            </w:r>
          </w:p>
        </w:tc>
        <w:tc>
          <w:tcPr>
            <w:tcW w:w="1441" w:type="dxa"/>
            <w:tcBorders/>
            <w:shd w:color="auto" w:fill="D3DFEE" w:themeFill="accent1" w:themeFillTint="3f" w:val="clear"/>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7"/>
                <w:szCs w:val="22"/>
                <w:lang w:val="en-US" w:eastAsia="en-US" w:bidi="ar-SA"/>
              </w:rPr>
              <w:t>8</w:t>
            </w:r>
          </w:p>
        </w:tc>
        <w:tc>
          <w:tcPr>
            <w:tcW w:w="1440" w:type="dxa"/>
            <w:tcBorders/>
            <w:shd w:color="auto" w:fill="D3DFEE" w:themeFill="accent1" w:themeFillTint="3f" w:val="clear"/>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7"/>
                <w:szCs w:val="22"/>
                <w:lang w:val="en-US" w:eastAsia="en-US" w:bidi="ar-SA"/>
              </w:rPr>
              <w:t>5</w:t>
            </w:r>
          </w:p>
        </w:tc>
        <w:tc>
          <w:tcPr>
            <w:tcW w:w="1439" w:type="dxa"/>
            <w:tcBorders/>
            <w:shd w:color="auto" w:fill="D3DFEE" w:themeFill="accent1" w:themeFillTint="3f" w:val="clear"/>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7"/>
                <w:szCs w:val="22"/>
                <w:lang w:val="en-US" w:eastAsia="en-US" w:bidi="ar-SA"/>
              </w:rPr>
              <w:t>6.3</w:t>
            </w:r>
          </w:p>
        </w:tc>
        <w:tc>
          <w:tcPr>
            <w:tcW w:w="1440" w:type="dxa"/>
            <w:tcBorders/>
            <w:shd w:color="auto" w:fill="D3DFEE" w:themeFill="accent1" w:themeFillTint="3f" w:val="clear"/>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6"/>
                <w:szCs w:val="22"/>
                <w:lang w:val="en-US" w:eastAsia="en-US" w:bidi="ar-SA"/>
              </w:rPr>
              <w:t>La demande sponsor crée une vraie valeur pédagogique et B2B. Ce n'est pas MUST car le MVP étudiant F1-F6 reste prioritaire ; ce n'est pas COULD car la cible enseignante est explicitement demandée en perturbation.</w:t>
            </w:r>
          </w:p>
        </w:tc>
      </w:tr>
      <w:tr>
        <w:trPr/>
        <w:tc>
          <w:tcPr>
            <w:tcW w:w="1440" w:type="dxa"/>
            <w:tcBorders/>
            <w:vAlign w:val="center"/>
          </w:tcPr>
          <w:p>
            <w:pPr>
              <w:pStyle w:val="Normal"/>
              <w:widowControl w:val="false"/>
              <w:suppressAutoHyphens w:val="true"/>
              <w:spacing w:lineRule="auto" w:line="240" w:before="0" w:after="0"/>
              <w:jc w:val="left"/>
              <w:rPr>
                <w:rFonts w:ascii="Calibri" w:hAnsi="Calibri" w:eastAsia="ＭＳ ゴシック" w:cs=""/>
                <w:bCs/>
                <w:kern w:val="0"/>
                <w:szCs w:val="22"/>
                <w:lang w:val="en-US" w:eastAsia="en-US" w:bidi="ar-SA"/>
              </w:rPr>
            </w:pPr>
            <w:r>
              <w:rPr>
                <w:rFonts w:eastAsia="ＭＳ ゴシック" w:cs="" w:ascii="Calibri" w:hAnsi="Calibri"/>
                <w:b w:val="false"/>
                <w:bCs/>
                <w:kern w:val="0"/>
                <w:sz w:val="17"/>
                <w:szCs w:val="22"/>
                <w:lang w:val="en-US" w:eastAsia="en-US" w:bidi="ar-SA"/>
              </w:rPr>
              <w:t>US-21a : créer une classe + rattacher les 28 étudiants</w:t>
            </w:r>
          </w:p>
        </w:tc>
        <w:tc>
          <w:tcPr>
            <w:tcW w:w="1439" w:type="dxa"/>
            <w:tcBorders/>
            <w:shd w:fill="FEF3C7"/>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7"/>
                <w:szCs w:val="22"/>
                <w:lang w:val="en-US" w:eastAsia="en-US" w:bidi="ar-SA"/>
              </w:rPr>
              <w:t>SHOULD</w:t>
            </w:r>
          </w:p>
        </w:tc>
        <w:tc>
          <w:tcPr>
            <w:tcW w:w="1441" w:type="dxa"/>
            <w:tcBorders/>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7"/>
                <w:szCs w:val="22"/>
                <w:lang w:val="en-US" w:eastAsia="en-US" w:bidi="ar-SA"/>
              </w:rPr>
              <w:t>3</w:t>
            </w:r>
          </w:p>
        </w:tc>
        <w:tc>
          <w:tcPr>
            <w:tcW w:w="1440" w:type="dxa"/>
            <w:tcBorders/>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7"/>
                <w:szCs w:val="22"/>
                <w:lang w:val="en-US" w:eastAsia="en-US" w:bidi="ar-SA"/>
              </w:rPr>
              <w:t>4</w:t>
            </w:r>
          </w:p>
        </w:tc>
        <w:tc>
          <w:tcPr>
            <w:tcW w:w="1439" w:type="dxa"/>
            <w:tcBorders/>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7"/>
                <w:szCs w:val="22"/>
                <w:lang w:val="en-US" w:eastAsia="en-US" w:bidi="ar-SA"/>
              </w:rPr>
              <w:t>13.3</w:t>
            </w:r>
          </w:p>
        </w:tc>
        <w:tc>
          <w:tcPr>
            <w:tcW w:w="1440" w:type="dxa"/>
            <w:tcBorders/>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6"/>
                <w:szCs w:val="22"/>
                <w:lang w:val="en-US" w:eastAsia="en-US" w:bidi="ar-SA"/>
              </w:rPr>
              <w:t>Tranche minimale de l'US-21. Nécessaire pour regrouper les résultats sous un espace enseignant, sans construire une gestion multi-classes complète.</w:t>
            </w:r>
          </w:p>
        </w:tc>
      </w:tr>
      <w:tr>
        <w:trPr/>
        <w:tc>
          <w:tcPr>
            <w:tcW w:w="1440" w:type="dxa"/>
            <w:tcBorders/>
            <w:shd w:color="auto" w:fill="D3DFEE" w:themeFill="accent1" w:themeFillTint="3f" w:val="clear"/>
            <w:vAlign w:val="center"/>
          </w:tcPr>
          <w:p>
            <w:pPr>
              <w:pStyle w:val="Normal"/>
              <w:widowControl w:val="false"/>
              <w:suppressAutoHyphens w:val="true"/>
              <w:spacing w:lineRule="auto" w:line="240" w:before="0" w:after="0"/>
              <w:jc w:val="left"/>
              <w:rPr>
                <w:rFonts w:ascii="Calibri" w:hAnsi="Calibri" w:eastAsia="ＭＳ ゴシック" w:cs=""/>
                <w:bCs/>
                <w:kern w:val="0"/>
                <w:szCs w:val="22"/>
                <w:lang w:val="en-US" w:eastAsia="en-US" w:bidi="ar-SA"/>
              </w:rPr>
            </w:pPr>
            <w:r>
              <w:rPr>
                <w:rFonts w:eastAsia="ＭＳ ゴシック" w:cs="" w:ascii="Calibri" w:hAnsi="Calibri"/>
                <w:b w:val="false"/>
                <w:bCs/>
                <w:kern w:val="0"/>
                <w:sz w:val="17"/>
                <w:szCs w:val="22"/>
                <w:lang w:val="en-US" w:eastAsia="en-US" w:bidi="ar-SA"/>
              </w:rPr>
              <w:t>US-22a : consulter les scores de la classe</w:t>
            </w:r>
          </w:p>
        </w:tc>
        <w:tc>
          <w:tcPr>
            <w:tcW w:w="1439" w:type="dxa"/>
            <w:tcBorders/>
            <w:shd w:fill="DCFCE7"/>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7"/>
                <w:szCs w:val="22"/>
                <w:lang w:val="en-US" w:eastAsia="en-US" w:bidi="ar-SA"/>
              </w:rPr>
              <w:t>SHOULD</w:t>
            </w:r>
          </w:p>
        </w:tc>
        <w:tc>
          <w:tcPr>
            <w:tcW w:w="1441" w:type="dxa"/>
            <w:tcBorders/>
            <w:shd w:color="auto" w:fill="D3DFEE" w:themeFill="accent1" w:themeFillTint="3f" w:val="clear"/>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7"/>
                <w:szCs w:val="22"/>
                <w:lang w:val="en-US" w:eastAsia="en-US" w:bidi="ar-SA"/>
              </w:rPr>
              <w:t>3</w:t>
            </w:r>
          </w:p>
        </w:tc>
        <w:tc>
          <w:tcPr>
            <w:tcW w:w="1440" w:type="dxa"/>
            <w:tcBorders/>
            <w:shd w:color="auto" w:fill="D3DFEE" w:themeFill="accent1" w:themeFillTint="3f" w:val="clear"/>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7"/>
                <w:szCs w:val="22"/>
                <w:lang w:val="en-US" w:eastAsia="en-US" w:bidi="ar-SA"/>
              </w:rPr>
              <w:t>5</w:t>
            </w:r>
          </w:p>
        </w:tc>
        <w:tc>
          <w:tcPr>
            <w:tcW w:w="1439" w:type="dxa"/>
            <w:tcBorders/>
            <w:shd w:color="auto" w:fill="D3DFEE" w:themeFill="accent1" w:themeFillTint="3f" w:val="clear"/>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7"/>
                <w:szCs w:val="22"/>
                <w:lang w:val="en-US" w:eastAsia="en-US" w:bidi="ar-SA"/>
              </w:rPr>
              <w:t>16.7</w:t>
            </w:r>
          </w:p>
        </w:tc>
        <w:tc>
          <w:tcPr>
            <w:tcW w:w="1440" w:type="dxa"/>
            <w:tcBorders/>
            <w:shd w:color="auto" w:fill="D3DFEE" w:themeFill="accent1" w:themeFillTint="3f" w:val="clear"/>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6"/>
                <w:szCs w:val="22"/>
                <w:lang w:val="en-US" w:eastAsia="en-US" w:bidi="ar-SA"/>
              </w:rPr>
              <w:t>Fort chevauchement avec US-05 et US-06 : on réutilise score /10, détail et historique déjà produits par le MVP étudiant.</w:t>
            </w:r>
          </w:p>
        </w:tc>
      </w:tr>
      <w:tr>
        <w:trPr/>
        <w:tc>
          <w:tcPr>
            <w:tcW w:w="1440" w:type="dxa"/>
            <w:tcBorders/>
            <w:vAlign w:val="center"/>
          </w:tcPr>
          <w:p>
            <w:pPr>
              <w:pStyle w:val="Normal"/>
              <w:widowControl w:val="false"/>
              <w:suppressAutoHyphens w:val="true"/>
              <w:spacing w:lineRule="auto" w:line="240" w:before="0" w:after="0"/>
              <w:jc w:val="left"/>
              <w:rPr>
                <w:rFonts w:ascii="Calibri" w:hAnsi="Calibri" w:eastAsia="ＭＳ ゴシック" w:cs=""/>
                <w:bCs/>
                <w:kern w:val="0"/>
                <w:szCs w:val="22"/>
                <w:lang w:val="en-US" w:eastAsia="en-US" w:bidi="ar-SA"/>
              </w:rPr>
            </w:pPr>
            <w:r>
              <w:rPr>
                <w:rFonts w:eastAsia="ＭＳ ゴシック" w:cs="" w:ascii="Calibri" w:hAnsi="Calibri"/>
                <w:b w:val="false"/>
                <w:bCs/>
                <w:kern w:val="0"/>
                <w:sz w:val="17"/>
                <w:szCs w:val="22"/>
                <w:lang w:val="en-US" w:eastAsia="en-US" w:bidi="ar-SA"/>
              </w:rPr>
              <w:t>US-23a : repérer les étudiants qui décrochent</w:t>
            </w:r>
          </w:p>
        </w:tc>
        <w:tc>
          <w:tcPr>
            <w:tcW w:w="1439" w:type="dxa"/>
            <w:tcBorders/>
            <w:shd w:fill="E2E8F0"/>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7"/>
                <w:szCs w:val="22"/>
                <w:lang w:val="en-US" w:eastAsia="en-US" w:bidi="ar-SA"/>
              </w:rPr>
              <w:t>SHOULD</w:t>
            </w:r>
          </w:p>
        </w:tc>
        <w:tc>
          <w:tcPr>
            <w:tcW w:w="1441" w:type="dxa"/>
            <w:tcBorders/>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7"/>
                <w:szCs w:val="22"/>
                <w:lang w:val="en-US" w:eastAsia="en-US" w:bidi="ar-SA"/>
              </w:rPr>
              <w:t>2</w:t>
            </w:r>
          </w:p>
        </w:tc>
        <w:tc>
          <w:tcPr>
            <w:tcW w:w="1440" w:type="dxa"/>
            <w:tcBorders/>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7"/>
                <w:szCs w:val="22"/>
                <w:lang w:val="en-US" w:eastAsia="en-US" w:bidi="ar-SA"/>
              </w:rPr>
              <w:t>5</w:t>
            </w:r>
          </w:p>
        </w:tc>
        <w:tc>
          <w:tcPr>
            <w:tcW w:w="1439" w:type="dxa"/>
            <w:tcBorders/>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7"/>
                <w:szCs w:val="22"/>
                <w:lang w:val="en-US" w:eastAsia="en-US" w:bidi="ar-SA"/>
              </w:rPr>
              <w:t>25.0</w:t>
            </w:r>
          </w:p>
        </w:tc>
        <w:tc>
          <w:tcPr>
            <w:tcW w:w="1440" w:type="dxa"/>
            <w:tcBorders/>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6"/>
                <w:szCs w:val="22"/>
                <w:lang w:val="en-US" w:eastAsia="en-US" w:bidi="ar-SA"/>
              </w:rPr>
              <w:t>Version simple par seuil de score ou absence d'activité. Répond directement au besoin de Mme Lefèvre et reste faisable si le dashboard reste minimal.</w:t>
            </w:r>
          </w:p>
        </w:tc>
      </w:tr>
      <w:tr>
        <w:trPr/>
        <w:tc>
          <w:tcPr>
            <w:tcW w:w="1440" w:type="dxa"/>
            <w:tcBorders/>
            <w:shd w:color="auto" w:fill="D3DFEE" w:themeFill="accent1" w:themeFillTint="3f" w:val="clear"/>
            <w:vAlign w:val="center"/>
          </w:tcPr>
          <w:p>
            <w:pPr>
              <w:pStyle w:val="Normal"/>
              <w:widowControl w:val="false"/>
              <w:suppressAutoHyphens w:val="true"/>
              <w:spacing w:lineRule="auto" w:line="240" w:before="0" w:after="0"/>
              <w:jc w:val="left"/>
              <w:rPr>
                <w:rFonts w:ascii="Calibri" w:hAnsi="Calibri" w:eastAsia="ＭＳ ゴシック" w:cs=""/>
                <w:bCs/>
                <w:kern w:val="0"/>
                <w:szCs w:val="22"/>
                <w:lang w:val="en-US" w:eastAsia="en-US" w:bidi="ar-SA"/>
              </w:rPr>
            </w:pPr>
            <w:r>
              <w:rPr>
                <w:rFonts w:eastAsia="ＭＳ ゴシック" w:cs="" w:ascii="Calibri" w:hAnsi="Calibri"/>
                <w:b w:val="false"/>
                <w:bCs/>
                <w:kern w:val="0"/>
                <w:sz w:val="17"/>
                <w:szCs w:val="22"/>
                <w:lang w:val="en-US" w:eastAsia="en-US" w:bidi="ar-SA"/>
              </w:rPr>
              <w:t>US-24 complète : envoyer un conseil personnalisé automatisé</w:t>
            </w:r>
          </w:p>
        </w:tc>
        <w:tc>
          <w:tcPr>
            <w:tcW w:w="1439" w:type="dxa"/>
            <w:tcBorders/>
            <w:shd w:color="auto" w:fill="D3DFEE" w:themeFill="accent1" w:themeFillTint="3f" w:val="clear"/>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7"/>
                <w:szCs w:val="22"/>
                <w:lang w:val="en-US" w:eastAsia="en-US" w:bidi="ar-SA"/>
              </w:rPr>
              <w:t>WON'T R1</w:t>
            </w:r>
          </w:p>
        </w:tc>
        <w:tc>
          <w:tcPr>
            <w:tcW w:w="1441" w:type="dxa"/>
            <w:tcBorders/>
            <w:shd w:color="auto" w:fill="D3DFEE" w:themeFill="accent1" w:themeFillTint="3f" w:val="clear"/>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7"/>
                <w:szCs w:val="22"/>
                <w:lang w:val="en-US" w:eastAsia="en-US" w:bidi="ar-SA"/>
              </w:rPr>
              <w:t>13</w:t>
            </w:r>
          </w:p>
        </w:tc>
        <w:tc>
          <w:tcPr>
            <w:tcW w:w="1440" w:type="dxa"/>
            <w:tcBorders/>
            <w:shd w:color="auto" w:fill="D3DFEE" w:themeFill="accent1" w:themeFillTint="3f" w:val="clear"/>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7"/>
                <w:szCs w:val="22"/>
                <w:lang w:val="en-US" w:eastAsia="en-US" w:bidi="ar-SA"/>
              </w:rPr>
              <w:t>2</w:t>
            </w:r>
          </w:p>
        </w:tc>
        <w:tc>
          <w:tcPr>
            <w:tcW w:w="1439" w:type="dxa"/>
            <w:tcBorders/>
            <w:shd w:color="auto" w:fill="D3DFEE" w:themeFill="accent1" w:themeFillTint="3f" w:val="clear"/>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7"/>
                <w:szCs w:val="22"/>
                <w:lang w:val="en-US" w:eastAsia="en-US" w:bidi="ar-SA"/>
              </w:rPr>
              <w:t>1.5</w:t>
            </w:r>
          </w:p>
        </w:tc>
        <w:tc>
          <w:tcPr>
            <w:tcW w:w="1440" w:type="dxa"/>
            <w:tcBorders/>
            <w:shd w:color="auto" w:fill="D3DFEE" w:themeFill="accent1" w:themeFillTint="3f" w:val="clear"/>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6"/>
                <w:szCs w:val="22"/>
                <w:lang w:val="en-US" w:eastAsia="en-US" w:bidi="ar-SA"/>
              </w:rPr>
              <w:t>Messagerie et personnalisation complète trop coûteuses pour R1. On garde au mieux un conseil préparé / action manuelle ; la messagerie complète part en backlog futur.</w:t>
            </w:r>
          </w:p>
        </w:tc>
      </w:tr>
    </w:tbl>
    <w:p>
      <w:pPr>
        <w:pStyle w:val="Normal"/>
        <w:rPr/>
      </w:pPr>
      <w:r>
        <w:rPr/>
      </w:r>
    </w:p>
    <w:p>
      <w:pPr>
        <w:pStyle w:val="Normal"/>
        <w:rPr/>
      </w:pPr>
      <w:r>
        <w:rPr>
          <w:b/>
        </w:rPr>
        <w:t xml:space="preserve">📊 </w:t>
      </w:r>
      <w:r>
        <w:rPr>
          <w:b/>
        </w:rPr>
        <w:t>Formule du score : (Impact × 10) / Effort. La décision globale reste SHOULD : forte valeur métier, mais dépendante d'une compensation de périmètre.</w:t>
      </w:r>
    </w:p>
    <w:p>
      <w:pPr>
        <w:pStyle w:val="Heading1"/>
        <w:rPr/>
      </w:pPr>
      <w:bookmarkStart w:id="4" w:name="__RefHeading___Toc11845_1316170329"/>
      <w:bookmarkEnd w:id="4"/>
      <w:r>
        <w:rPr>
          <w:color w:val="1E1B4B"/>
        </w:rPr>
        <w:t>3. Contrepartie obligatoire (ce qui sort du sprint)</w:t>
      </w:r>
    </w:p>
    <w:p>
      <w:pPr>
        <w:pStyle w:val="Normal"/>
        <w:spacing w:before="57" w:after="200"/>
        <w:ind w:left="227" w:right="227" w:hanging="0"/>
        <w:rPr>
          <w:b w:val="false"/>
          <w:b w:val="false"/>
          <w:bCs w:val="false"/>
          <w:color w:val="auto"/>
        </w:rPr>
      </w:pPr>
      <w:r>
        <w:rPr>
          <w:b w:val="false"/>
          <w:bCs w:val="false"/>
          <w:color w:val="auto"/>
          <w:sz w:val="18"/>
        </w:rPr>
        <w:t>Principe retenu : on n'ajoute pas la cible enseignante sans retirer du scope. La capacité S1-S5 est fixée à 35 SP ; l'ajout de 8 SP impose de sortir P7 et P9 du catalogue.</w:t>
      </w:r>
    </w:p>
    <w:p>
      <w:pPr>
        <w:pStyle w:val="Normal"/>
        <w:ind w:left="227" w:right="227" w:hanging="0"/>
        <w:rPr>
          <w:b w:val="false"/>
          <w:b w:val="false"/>
          <w:bCs w:val="false"/>
          <w:color w:val="auto"/>
        </w:rPr>
      </w:pPr>
      <w:r>
        <w:rPr>
          <w:b w:val="false"/>
          <w:bCs w:val="false"/>
          <w:color w:val="auto"/>
          <w:sz w:val="18"/>
        </w:rPr>
        <w:t>La contrepartie évite de transformer la perturbation en surcharge cachée pour l'équipe.</w:t>
      </w:r>
    </w:p>
    <w:p>
      <w:pPr>
        <w:pStyle w:val="Normal"/>
        <w:ind w:left="227" w:right="227" w:hanging="0"/>
        <w:rPr/>
      </w:pPr>
      <w:r>
        <w:rPr/>
      </w:r>
    </w:p>
    <w:p>
      <w:pPr>
        <w:pStyle w:val="Normal"/>
        <w:ind w:left="227" w:right="227" w:hanging="0"/>
        <w:rPr/>
      </w:pPr>
      <w:r>
        <w:rPr/>
      </w:r>
    </w:p>
    <w:p>
      <w:pPr>
        <w:pStyle w:val="Normal"/>
        <w:rPr/>
      </w:pPr>
      <w:r>
        <w:rPr>
          <w:b/>
        </w:rPr>
        <w:t>Principe non négociable : la cible enseignante entre en Release 1 uniquement sous forme de tranche minimale. Les fonctionnalités avancées restent en backlog futur.</w:t>
      </w:r>
    </w:p>
    <w:p>
      <w:pPr>
        <w:pStyle w:val="Heading2"/>
        <w:rPr/>
      </w:pPr>
      <w:bookmarkStart w:id="5" w:name="__RefHeading___Toc11847_1316170329"/>
      <w:bookmarkEnd w:id="5"/>
      <w:r>
        <w:rPr>
          <w:color w:val="1E1B4B"/>
        </w:rPr>
        <w:t>3.1. Stories ajoutées / Stories reportées</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bottom w:val="single" w:sz="18" w:space="0" w:color="4F81BD"/>
            </w:tcBorders>
            <w:shd w:fill="D9EAF7"/>
            <w:vAlign w:val="center"/>
          </w:tcPr>
          <w:p>
            <w:pPr>
              <w:pStyle w:val="Normal"/>
              <w:widowControl w:val="false"/>
              <w:suppressAutoHyphens w:val="true"/>
              <w:spacing w:lineRule="auto" w:line="240" w:before="0" w:after="0"/>
              <w:jc w:val="left"/>
              <w:rPr>
                <w:rFonts w:ascii="Calibri" w:hAnsi="Calibri" w:eastAsia="ＭＳ ゴシック" w:cs=""/>
                <w:bCs/>
                <w:kern w:val="0"/>
                <w:szCs w:val="22"/>
                <w:lang w:val="en-US" w:eastAsia="en-US" w:bidi="ar-SA"/>
              </w:rPr>
            </w:pPr>
            <w:r>
              <w:rPr>
                <w:rFonts w:eastAsia="ＭＳ ゴシック" w:cs="" w:ascii="Calibri" w:hAnsi="Calibri"/>
                <w:b/>
                <w:bCs/>
                <w:kern w:val="0"/>
                <w:sz w:val="18"/>
                <w:szCs w:val="22"/>
                <w:lang w:val="en-US" w:eastAsia="en-US" w:bidi="ar-SA"/>
              </w:rPr>
              <w:t>Story ajoutée</w:t>
            </w:r>
          </w:p>
        </w:tc>
        <w:tc>
          <w:tcPr>
            <w:tcW w:w="2160" w:type="dxa"/>
            <w:tcBorders>
              <w:bottom w:val="single" w:sz="18" w:space="0" w:color="4F81BD"/>
            </w:tcBorders>
            <w:shd w:fill="D9EAF7"/>
            <w:vAlign w:val="center"/>
          </w:tcPr>
          <w:p>
            <w:pPr>
              <w:pStyle w:val="Normal"/>
              <w:widowControl w:val="false"/>
              <w:suppressAutoHyphens w:val="true"/>
              <w:spacing w:lineRule="auto" w:line="240" w:before="0" w:after="0"/>
              <w:jc w:val="left"/>
              <w:rPr>
                <w:rFonts w:ascii="Calibri" w:hAnsi="Calibri" w:eastAsia="ＭＳ ゴシック" w:cs=""/>
                <w:bCs/>
                <w:kern w:val="0"/>
                <w:szCs w:val="22"/>
                <w:lang w:val="en-US" w:eastAsia="en-US" w:bidi="ar-SA"/>
              </w:rPr>
            </w:pPr>
            <w:r>
              <w:rPr>
                <w:rFonts w:eastAsia="ＭＳ ゴシック" w:cs="" w:ascii="Calibri" w:hAnsi="Calibri"/>
                <w:b/>
                <w:bCs/>
                <w:kern w:val="0"/>
                <w:sz w:val="18"/>
                <w:szCs w:val="22"/>
                <w:lang w:val="en-US" w:eastAsia="en-US" w:bidi="ar-SA"/>
              </w:rPr>
              <w:t>+ SP</w:t>
            </w:r>
          </w:p>
        </w:tc>
        <w:tc>
          <w:tcPr>
            <w:tcW w:w="2160" w:type="dxa"/>
            <w:tcBorders>
              <w:bottom w:val="single" w:sz="18" w:space="0" w:color="4F81BD"/>
            </w:tcBorders>
            <w:shd w:fill="D9EAF7"/>
            <w:vAlign w:val="center"/>
          </w:tcPr>
          <w:p>
            <w:pPr>
              <w:pStyle w:val="Normal"/>
              <w:widowControl w:val="false"/>
              <w:suppressAutoHyphens w:val="true"/>
              <w:spacing w:lineRule="auto" w:line="240" w:before="0" w:after="0"/>
              <w:jc w:val="left"/>
              <w:rPr>
                <w:rFonts w:ascii="Calibri" w:hAnsi="Calibri" w:eastAsia="ＭＳ ゴシック" w:cs=""/>
                <w:bCs/>
                <w:kern w:val="0"/>
                <w:szCs w:val="22"/>
                <w:lang w:val="en-US" w:eastAsia="en-US" w:bidi="ar-SA"/>
              </w:rPr>
            </w:pPr>
            <w:r>
              <w:rPr>
                <w:rFonts w:eastAsia="ＭＳ ゴシック" w:cs="" w:ascii="Calibri" w:hAnsi="Calibri"/>
                <w:b/>
                <w:bCs/>
                <w:kern w:val="0"/>
                <w:sz w:val="18"/>
                <w:szCs w:val="22"/>
                <w:lang w:val="en-US" w:eastAsia="en-US" w:bidi="ar-SA"/>
              </w:rPr>
              <w:t>Story reportée (contrepartie)</w:t>
            </w:r>
          </w:p>
        </w:tc>
        <w:tc>
          <w:tcPr>
            <w:tcW w:w="2159" w:type="dxa"/>
            <w:tcBorders>
              <w:bottom w:val="single" w:sz="18" w:space="0" w:color="4F81BD"/>
            </w:tcBorders>
            <w:shd w:fill="D9EAF7"/>
            <w:vAlign w:val="center"/>
          </w:tcPr>
          <w:p>
            <w:pPr>
              <w:pStyle w:val="Normal"/>
              <w:widowControl w:val="false"/>
              <w:suppressAutoHyphens w:val="true"/>
              <w:spacing w:lineRule="auto" w:line="240" w:before="0" w:after="0"/>
              <w:jc w:val="left"/>
              <w:rPr>
                <w:rFonts w:ascii="Calibri" w:hAnsi="Calibri" w:eastAsia="ＭＳ ゴシック" w:cs=""/>
                <w:bCs/>
                <w:kern w:val="0"/>
                <w:szCs w:val="22"/>
                <w:lang w:val="en-US" w:eastAsia="en-US" w:bidi="ar-SA"/>
              </w:rPr>
            </w:pPr>
            <w:r>
              <w:rPr>
                <w:rFonts w:eastAsia="ＭＳ ゴシック" w:cs="" w:ascii="Calibri" w:hAnsi="Calibri"/>
                <w:b/>
                <w:bCs/>
                <w:kern w:val="0"/>
                <w:sz w:val="18"/>
                <w:szCs w:val="22"/>
                <w:lang w:val="en-US" w:eastAsia="en-US" w:bidi="ar-SA"/>
              </w:rPr>
              <w:t>- SP</w:t>
            </w:r>
          </w:p>
        </w:tc>
      </w:tr>
      <w:tr>
        <w:trPr/>
        <w:tc>
          <w:tcPr>
            <w:tcW w:w="2160" w:type="dxa"/>
            <w:tcBorders/>
            <w:shd w:color="auto" w:fill="D3DFEE" w:themeFill="accent1" w:themeFillTint="3f" w:val="clear"/>
            <w:vAlign w:val="center"/>
          </w:tcPr>
          <w:p>
            <w:pPr>
              <w:pStyle w:val="Normal"/>
              <w:widowControl w:val="false"/>
              <w:suppressAutoHyphens w:val="true"/>
              <w:spacing w:lineRule="auto" w:line="240" w:before="0" w:after="0"/>
              <w:jc w:val="left"/>
              <w:rPr>
                <w:rFonts w:ascii="Calibri" w:hAnsi="Calibri" w:eastAsia="ＭＳ ゴシック" w:cs=""/>
                <w:bCs/>
                <w:kern w:val="0"/>
                <w:szCs w:val="22"/>
                <w:lang w:val="en-US" w:eastAsia="en-US" w:bidi="ar-SA"/>
              </w:rPr>
            </w:pPr>
            <w:r>
              <w:rPr>
                <w:rFonts w:eastAsia="ＭＳ ゴシック" w:cs="" w:ascii="Calibri" w:hAnsi="Calibri"/>
                <w:b w:val="false"/>
                <w:bCs/>
                <w:kern w:val="0"/>
                <w:sz w:val="17"/>
                <w:szCs w:val="22"/>
                <w:lang w:val="en-US" w:eastAsia="en-US" w:bidi="ar-SA"/>
              </w:rPr>
              <w:t>US-21a : classe + rattachement étudiants</w:t>
            </w:r>
          </w:p>
        </w:tc>
        <w:tc>
          <w:tcPr>
            <w:tcW w:w="2160" w:type="dxa"/>
            <w:tcBorders/>
            <w:shd w:color="auto" w:fill="D3DFEE" w:themeFill="accent1" w:themeFillTint="3f" w:val="clear"/>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7"/>
                <w:szCs w:val="22"/>
                <w:lang w:val="en-US" w:eastAsia="en-US" w:bidi="ar-SA"/>
              </w:rPr>
              <w:t>+3</w:t>
            </w:r>
          </w:p>
        </w:tc>
        <w:tc>
          <w:tcPr>
            <w:tcW w:w="2160" w:type="dxa"/>
            <w:tcBorders/>
            <w:shd w:color="auto" w:fill="D3DFEE" w:themeFill="accent1" w:themeFillTint="3f" w:val="clear"/>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7"/>
                <w:szCs w:val="22"/>
                <w:lang w:val="en-US" w:eastAsia="en-US" w:bidi="ar-SA"/>
              </w:rPr>
              <w:t>P7 du catalogue</w:t>
            </w:r>
          </w:p>
        </w:tc>
        <w:tc>
          <w:tcPr>
            <w:tcW w:w="2159" w:type="dxa"/>
            <w:tcBorders/>
            <w:shd w:color="auto" w:fill="D3DFEE" w:themeFill="accent1" w:themeFillTint="3f" w:val="clear"/>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7"/>
                <w:szCs w:val="22"/>
                <w:lang w:val="en-US" w:eastAsia="en-US" w:bidi="ar-SA"/>
              </w:rPr>
              <w:t>-3</w:t>
            </w:r>
          </w:p>
        </w:tc>
      </w:tr>
      <w:tr>
        <w:trPr/>
        <w:tc>
          <w:tcPr>
            <w:tcW w:w="2160" w:type="dxa"/>
            <w:tcBorders/>
            <w:vAlign w:val="center"/>
          </w:tcPr>
          <w:p>
            <w:pPr>
              <w:pStyle w:val="Normal"/>
              <w:widowControl w:val="false"/>
              <w:suppressAutoHyphens w:val="true"/>
              <w:spacing w:lineRule="auto" w:line="240" w:before="0" w:after="0"/>
              <w:jc w:val="left"/>
              <w:rPr>
                <w:rFonts w:ascii="Calibri" w:hAnsi="Calibri" w:eastAsia="ＭＳ ゴシック" w:cs=""/>
                <w:bCs/>
                <w:kern w:val="0"/>
                <w:szCs w:val="22"/>
                <w:lang w:val="en-US" w:eastAsia="en-US" w:bidi="ar-SA"/>
              </w:rPr>
            </w:pPr>
            <w:r>
              <w:rPr>
                <w:rFonts w:eastAsia="ＭＳ ゴシック" w:cs="" w:ascii="Calibri" w:hAnsi="Calibri"/>
                <w:b w:val="false"/>
                <w:bCs/>
                <w:kern w:val="0"/>
                <w:sz w:val="17"/>
                <w:szCs w:val="22"/>
                <w:lang w:val="en-US" w:eastAsia="en-US" w:bidi="ar-SA"/>
              </w:rPr>
              <w:t>US-22a : scores de classe réutilisant US-05/US-06</w:t>
            </w:r>
          </w:p>
        </w:tc>
        <w:tc>
          <w:tcPr>
            <w:tcW w:w="2160" w:type="dxa"/>
            <w:tcBorders/>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7"/>
                <w:szCs w:val="22"/>
                <w:lang w:val="en-US" w:eastAsia="en-US" w:bidi="ar-SA"/>
              </w:rPr>
              <w:t>+3</w:t>
            </w:r>
          </w:p>
        </w:tc>
        <w:tc>
          <w:tcPr>
            <w:tcW w:w="2160" w:type="dxa"/>
            <w:tcBorders/>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7"/>
                <w:szCs w:val="22"/>
                <w:lang w:val="en-US" w:eastAsia="en-US" w:bidi="ar-SA"/>
              </w:rPr>
              <w:t>P9 du catalogue</w:t>
            </w:r>
          </w:p>
        </w:tc>
        <w:tc>
          <w:tcPr>
            <w:tcW w:w="2159" w:type="dxa"/>
            <w:tcBorders/>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7"/>
                <w:szCs w:val="22"/>
                <w:lang w:val="en-US" w:eastAsia="en-US" w:bidi="ar-SA"/>
              </w:rPr>
              <w:t>-3</w:t>
            </w:r>
          </w:p>
        </w:tc>
      </w:tr>
      <w:tr>
        <w:trPr/>
        <w:tc>
          <w:tcPr>
            <w:tcW w:w="2160" w:type="dxa"/>
            <w:tcBorders/>
            <w:shd w:color="auto" w:fill="D3DFEE" w:themeFill="accent1" w:themeFillTint="3f" w:val="clear"/>
            <w:vAlign w:val="center"/>
          </w:tcPr>
          <w:p>
            <w:pPr>
              <w:pStyle w:val="Normal"/>
              <w:widowControl w:val="false"/>
              <w:suppressAutoHyphens w:val="true"/>
              <w:spacing w:lineRule="auto" w:line="240" w:before="0" w:after="0"/>
              <w:jc w:val="left"/>
              <w:rPr>
                <w:rFonts w:ascii="Calibri" w:hAnsi="Calibri" w:eastAsia="ＭＳ ゴシック" w:cs=""/>
                <w:bCs/>
                <w:kern w:val="0"/>
                <w:szCs w:val="22"/>
                <w:lang w:val="en-US" w:eastAsia="en-US" w:bidi="ar-SA"/>
              </w:rPr>
            </w:pPr>
            <w:r>
              <w:rPr>
                <w:rFonts w:eastAsia="ＭＳ ゴシック" w:cs="" w:ascii="Calibri" w:hAnsi="Calibri"/>
                <w:b w:val="false"/>
                <w:bCs/>
                <w:kern w:val="0"/>
                <w:sz w:val="17"/>
                <w:szCs w:val="22"/>
                <w:lang w:val="en-US" w:eastAsia="en-US" w:bidi="ar-SA"/>
              </w:rPr>
              <w:t>US-23a : repérage simple des décrochages</w:t>
            </w:r>
          </w:p>
        </w:tc>
        <w:tc>
          <w:tcPr>
            <w:tcW w:w="2160" w:type="dxa"/>
            <w:tcBorders/>
            <w:shd w:color="auto" w:fill="D3DFEE" w:themeFill="accent1" w:themeFillTint="3f" w:val="clear"/>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7"/>
                <w:szCs w:val="22"/>
                <w:lang w:val="en-US" w:eastAsia="en-US" w:bidi="ar-SA"/>
              </w:rPr>
              <w:t>+2</w:t>
            </w:r>
          </w:p>
        </w:tc>
        <w:tc>
          <w:tcPr>
            <w:tcW w:w="2160" w:type="dxa"/>
            <w:tcBorders/>
            <w:shd w:color="auto" w:fill="D3DFEE" w:themeFill="accent1" w:themeFillTint="3f" w:val="clear"/>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7"/>
                <w:szCs w:val="22"/>
                <w:lang w:val="en-US" w:eastAsia="en-US" w:bidi="ar-SA"/>
              </w:rPr>
              <w:t>Ajustement restant sur P7/P9</w:t>
            </w:r>
          </w:p>
        </w:tc>
        <w:tc>
          <w:tcPr>
            <w:tcW w:w="2159" w:type="dxa"/>
            <w:tcBorders/>
            <w:shd w:color="auto" w:fill="D3DFEE" w:themeFill="accent1" w:themeFillTint="3f" w:val="clear"/>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7"/>
                <w:szCs w:val="22"/>
                <w:lang w:val="en-US" w:eastAsia="en-US" w:bidi="ar-SA"/>
              </w:rPr>
              <w:t>-2</w:t>
            </w:r>
          </w:p>
        </w:tc>
      </w:tr>
    </w:tbl>
    <w:p>
      <w:pPr>
        <w:pStyle w:val="Normal"/>
        <w:rPr/>
      </w:pPr>
      <w:r>
        <w:rPr>
          <w:b/>
        </w:rPr>
        <w:t>Bilan net : +8 SP ajoutés / -8 SP reportés = capacité S1-S5 maintenue à 35 SP. La Release 1 reste réaliste si P7 et P9 sortent du catalogue.</w:t>
      </w:r>
    </w:p>
    <w:p>
      <w:pPr>
        <w:pStyle w:val="Heading1"/>
        <w:rPr/>
      </w:pPr>
      <w:bookmarkStart w:id="6" w:name="__RefHeading___Toc11849_1316170329"/>
      <w:bookmarkEnd w:id="6"/>
      <w:r>
        <w:rPr>
          <w:color w:val="1E1B4B"/>
        </w:rPr>
        <w:t>4. Impact sur les Releases</w:t>
      </w:r>
    </w:p>
    <w:p>
      <w:pPr>
        <w:pStyle w:val="Normal"/>
        <w:spacing w:before="57" w:after="200"/>
        <w:ind w:left="227" w:right="227" w:hanging="0"/>
        <w:rPr>
          <w:b w:val="false"/>
          <w:b w:val="false"/>
          <w:bCs w:val="false"/>
          <w:color w:val="auto"/>
        </w:rPr>
      </w:pPr>
      <w:r>
        <w:rPr>
          <w:b w:val="false"/>
          <w:bCs w:val="false"/>
          <w:color w:val="auto"/>
          <w:sz w:val="18"/>
        </w:rPr>
        <w:t>Cette décision modifie la Release 1 sans changer le coeur du MVP étudiant : les fonctionnalités F1-F6 restent la base du produit.</w:t>
      </w:r>
    </w:p>
    <w:p>
      <w:pPr>
        <w:pStyle w:val="Normal"/>
        <w:ind w:left="227" w:right="227" w:hanging="0"/>
        <w:rPr>
          <w:b w:val="false"/>
          <w:b w:val="false"/>
          <w:bCs w:val="false"/>
          <w:color w:val="auto"/>
        </w:rPr>
      </w:pPr>
      <w:r>
        <w:rPr>
          <w:b w:val="false"/>
          <w:bCs w:val="false"/>
          <w:color w:val="auto"/>
          <w:sz w:val="18"/>
        </w:rPr>
        <w:t>L'ajout enseignant est un complément de suivi, pas un nouveau produit complet.</w:t>
      </w:r>
    </w:p>
    <w:p>
      <w:pPr>
        <w:pStyle w:val="Normal"/>
        <w:ind w:left="227" w:right="227" w:hanging="0"/>
        <w:rPr/>
      </w:pPr>
      <w:r>
        <w:rPr/>
      </w:r>
    </w:p>
    <w:p>
      <w:pPr>
        <w:pStyle w:val="Normal"/>
        <w:ind w:left="227" w:right="227" w:hanging="0"/>
        <w:rPr/>
      </w:pPr>
      <w:r>
        <w:rPr/>
      </w:r>
    </w:p>
    <w:p>
      <w:pPr>
        <w:pStyle w:val="Heading2"/>
        <w:rPr/>
      </w:pPr>
      <w:bookmarkStart w:id="7" w:name="__RefHeading___Toc11851_1316170329"/>
      <w:bookmarkEnd w:id="7"/>
      <w:r>
        <w:rPr>
          <w:color w:val="1E1B4B"/>
        </w:rPr>
        <w:t>4.1. Release 1 (MVP mercredi 17h45)</w:t>
      </w:r>
    </w:p>
    <w:p>
      <w:pPr>
        <w:pStyle w:val="Normal"/>
        <w:rPr/>
      </w:pPr>
      <w:r>
        <w:rPr>
          <w:b/>
        </w:rPr>
        <w:t>Statut : MODIFIÉE. Le MVP étudiant F1-F6 reste garanti, mais la cible enseignante entre en SHOULD via une tranche minimale de suivi de classe.</w:t>
      </w:r>
    </w:p>
    <w:p>
      <w:pPr>
        <w:pStyle w:val="Heading2"/>
        <w:rPr/>
      </w:pPr>
      <w:bookmarkStart w:id="8" w:name="__RefHeading___Toc11853_1316170329"/>
      <w:bookmarkEnd w:id="8"/>
      <w:r>
        <w:rPr>
          <w:color w:val="1E1B4B"/>
        </w:rPr>
        <w:t>4.2. Release 2 (jeudi 17h45)</w:t>
      </w:r>
    </w:p>
    <w:p>
      <w:pPr>
        <w:pStyle w:val="Normal"/>
        <w:rPr/>
      </w:pPr>
      <w:r>
        <w:rPr>
          <w:b/>
        </w:rPr>
        <w:t>Statut : ALLÉGÉE / REPORTÉE. Les éléments P7 et P9 du catalogue sont sortis de la Release 1 pour absorber les 8 SP liés à Mme Lefèvre.</w:t>
      </w:r>
    </w:p>
    <w:p>
      <w:pPr>
        <w:pStyle w:val="Normal"/>
        <w:rPr/>
      </w:pPr>
      <w:r>
        <w:rPr/>
        <w:t>Détail du nouveau scope R1 :</w:t>
      </w:r>
    </w:p>
    <w:p>
      <w:pPr>
        <w:pStyle w:val="ListBullet"/>
        <w:numPr>
          <w:ilvl w:val="0"/>
          <w:numId w:val="1"/>
        </w:numPr>
        <w:rPr/>
      </w:pPr>
      <w:r>
        <w:rPr/>
        <w:t>F1 à F6 : inscription, upload cours, génération QCM, correction, score détaillé, historique utilisateur.</w:t>
      </w:r>
    </w:p>
    <w:p>
      <w:pPr>
        <w:pStyle w:val="ListBullet"/>
        <w:numPr>
          <w:ilvl w:val="0"/>
          <w:numId w:val="1"/>
        </w:numPr>
        <w:rPr/>
      </w:pPr>
      <w:r>
        <w:rPr/>
        <w:t>SHOULD enseignant : espace de classe simple, rattachement étudiants, consultation des scores et repérage des décrochages.</w:t>
      </w:r>
    </w:p>
    <w:p>
      <w:pPr>
        <w:pStyle w:val="ListBullet"/>
        <w:numPr>
          <w:ilvl w:val="0"/>
          <w:numId w:val="1"/>
        </w:numPr>
        <w:rPr/>
      </w:pPr>
      <w:r>
        <w:rPr/>
        <w:t>Conseil ciblé : version minimale acceptable sous forme de conseil préparé / action manuelle, sans messagerie complète.</w:t>
      </w:r>
    </w:p>
    <w:p>
      <w:pPr>
        <w:pStyle w:val="ListBullet"/>
        <w:numPr>
          <w:ilvl w:val="0"/>
          <w:numId w:val="1"/>
        </w:numPr>
        <w:rPr/>
      </w:pPr>
      <w:r>
        <w:rPr/>
        <w:t>P7 et P9 du catalogue : reportés pour maintenir la capacité.</w:t>
      </w:r>
    </w:p>
    <w:p>
      <w:pPr>
        <w:pStyle w:val="Normal"/>
        <w:rPr/>
      </w:pPr>
      <w:r>
        <w:rPr/>
      </w:r>
    </w:p>
    <w:p>
      <w:pPr>
        <w:pStyle w:val="Heading2"/>
        <w:rPr/>
      </w:pPr>
      <w:bookmarkStart w:id="9" w:name="__RefHeading___Toc11855_1316170329"/>
      <w:bookmarkEnd w:id="9"/>
      <w:r>
        <w:rPr>
          <w:color w:val="1E1B4B"/>
        </w:rPr>
        <w:t>4.3. Stories décalées au backlog post-soutenance</w:t>
      </w:r>
    </w:p>
    <w:p>
      <w:pPr>
        <w:pStyle w:val="ListBullet"/>
        <w:numPr>
          <w:ilvl w:val="0"/>
          <w:numId w:val="1"/>
        </w:numPr>
        <w:rPr/>
      </w:pPr>
      <w:r>
        <w:rPr/>
        <w:t>P7 du catalogue : reporté pour compenser l'ajout enseignant.</w:t>
      </w:r>
    </w:p>
    <w:p>
      <w:pPr>
        <w:pStyle w:val="ListBullet"/>
        <w:numPr>
          <w:ilvl w:val="0"/>
          <w:numId w:val="1"/>
        </w:numPr>
        <w:rPr/>
      </w:pPr>
      <w:r>
        <w:rPr/>
        <w:t>P9 du catalogue : reporté pour compenser l'ajout enseignant.</w:t>
      </w:r>
    </w:p>
    <w:p>
      <w:pPr>
        <w:pStyle w:val="ListBullet"/>
        <w:numPr>
          <w:ilvl w:val="0"/>
          <w:numId w:val="1"/>
        </w:numPr>
        <w:rPr/>
      </w:pPr>
      <w:r>
        <w:rPr/>
        <w:t>US-24 complète : messagerie / envoi automatisé de conseil personnalisé, reportée hors Release 1.</w:t>
      </w:r>
    </w:p>
    <w:p>
      <w:pPr>
        <w:pStyle w:val="ListBullet"/>
        <w:numPr>
          <w:ilvl w:val="0"/>
          <w:numId w:val="1"/>
        </w:numPr>
        <w:rPr/>
      </w:pPr>
      <w:r>
        <w:rPr/>
        <w:t>Fonctions avancées enseignant : multi-classes complet, exports avancés, barème automatique, reporting détaillé.</w:t>
      </w:r>
    </w:p>
    <w:p>
      <w:pPr>
        <w:pStyle w:val="Heading1"/>
        <w:rPr/>
      </w:pPr>
      <w:bookmarkStart w:id="10" w:name="__RefHeading___Toc11857_1316170329"/>
      <w:bookmarkEnd w:id="10"/>
      <w:r>
        <w:rPr>
          <w:color w:val="1E1B4B"/>
        </w:rPr>
        <w:t>5. Validation Product Owner</w:t>
      </w:r>
    </w:p>
    <w:p>
      <w:pPr>
        <w:pStyle w:val="Normal"/>
        <w:spacing w:before="57" w:after="200"/>
        <w:ind w:left="227" w:right="227" w:hanging="0"/>
        <w:rPr/>
      </w:pPr>
      <w:r>
        <w:rPr>
          <w:b/>
          <w:color w:val="F59E0B"/>
          <w:sz w:val="18"/>
        </w:rPr>
        <w:t>La décision devra être validée par le Product Owner / sponsor afin de rendre l'arbitrage opposable au reste du projet.</w:t>
      </w:r>
    </w:p>
    <w:p>
      <w:pPr>
        <w:pStyle w:val="Normal"/>
        <w:ind w:left="227" w:right="227" w:hanging="0"/>
        <w:rPr/>
      </w:pPr>
      <w:r>
        <w:rPr>
          <w:b/>
          <w:color w:val="F59E0B"/>
          <w:sz w:val="18"/>
        </w:rPr>
        <w:t>La validation attendue porte explicitement sur le classement SHOULD de la cible enseignante et sur le report de P7/P9.</w:t>
      </w:r>
    </w:p>
    <w:p>
      <w:pPr>
        <w:pStyle w:val="Normal"/>
        <w:ind w:left="227" w:right="227" w:hanging="0"/>
        <w:rPr/>
      </w:pPr>
      <w:r>
        <w:rPr/>
      </w:r>
    </w:p>
    <w:p>
      <w:pPr>
        <w:pStyle w:val="Normal"/>
        <w:ind w:left="227" w:right="227" w:hanging="0"/>
        <w:rPr/>
      </w:pPr>
      <w:r>
        <w:rPr/>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single" w:sz="18" w:space="0" w:color="4F81BD"/>
            </w:tcBorders>
            <w:shd w:fill="F8FAFC"/>
            <w:vAlign w:val="center"/>
          </w:tcPr>
          <w:p>
            <w:pPr>
              <w:pStyle w:val="Normal"/>
              <w:widowControl w:val="false"/>
              <w:suppressAutoHyphens w:val="true"/>
              <w:spacing w:lineRule="auto" w:line="240" w:before="0" w:after="0"/>
              <w:jc w:val="left"/>
              <w:rPr>
                <w:rFonts w:ascii="Calibri" w:hAnsi="Calibri" w:eastAsia="ＭＳ ゴシック" w:cs=""/>
                <w:bCs/>
                <w:kern w:val="0"/>
                <w:szCs w:val="22"/>
                <w:lang w:val="en-US" w:eastAsia="en-US" w:bidi="ar-SA"/>
              </w:rPr>
            </w:pPr>
            <w:r>
              <w:rPr>
                <w:rFonts w:eastAsia="ＭＳ ゴシック" w:cs="" w:ascii="Calibri" w:hAnsi="Calibri"/>
                <w:b/>
                <w:bCs/>
                <w:kern w:val="0"/>
                <w:sz w:val="18"/>
                <w:szCs w:val="22"/>
                <w:lang w:val="en-US" w:eastAsia="en-US" w:bidi="ar-SA"/>
              </w:rPr>
              <w:t>Product Owner</w:t>
            </w:r>
          </w:p>
        </w:tc>
        <w:tc>
          <w:tcPr>
            <w:tcW w:w="4319" w:type="dxa"/>
            <w:tcBorders>
              <w:bottom w:val="single" w:sz="18" w:space="0" w:color="4F81BD"/>
            </w:tcBorders>
            <w:vAlign w:val="center"/>
          </w:tcPr>
          <w:p>
            <w:pPr>
              <w:pStyle w:val="Normal"/>
              <w:widowControl w:val="false"/>
              <w:suppressAutoHyphens w:val="true"/>
              <w:spacing w:lineRule="auto" w:line="240" w:before="0" w:after="0"/>
              <w:jc w:val="left"/>
              <w:rPr>
                <w:rFonts w:ascii="Calibri" w:hAnsi="Calibri" w:eastAsia="ＭＳ ゴシック" w:cs=""/>
                <w:bCs/>
                <w:kern w:val="0"/>
                <w:szCs w:val="22"/>
                <w:lang w:val="en-US" w:eastAsia="en-US" w:bidi="ar-SA"/>
              </w:rPr>
            </w:pPr>
            <w:r>
              <w:rPr>
                <w:rFonts w:eastAsia="ＭＳ ゴシック" w:cs="" w:ascii="Calibri" w:hAnsi="Calibri"/>
                <w:b w:val="false"/>
                <w:bCs/>
                <w:kern w:val="0"/>
                <w:sz w:val="18"/>
                <w:szCs w:val="22"/>
                <w:lang w:val="en-US" w:eastAsia="en-US" w:bidi="ar-SA"/>
              </w:rPr>
              <w:t>[À compléter : PO / sponsor]</w:t>
            </w:r>
          </w:p>
        </w:tc>
      </w:tr>
      <w:tr>
        <w:trPr/>
        <w:tc>
          <w:tcPr>
            <w:tcW w:w="4320" w:type="dxa"/>
            <w:tcBorders/>
            <w:shd w:fill="F8FAFC"/>
            <w:vAlign w:val="center"/>
          </w:tcPr>
          <w:p>
            <w:pPr>
              <w:pStyle w:val="Normal"/>
              <w:widowControl w:val="false"/>
              <w:suppressAutoHyphens w:val="true"/>
              <w:spacing w:lineRule="auto" w:line="240" w:before="0" w:after="0"/>
              <w:jc w:val="left"/>
              <w:rPr>
                <w:rFonts w:ascii="Calibri" w:hAnsi="Calibri" w:eastAsia="ＭＳ ゴシック" w:cs=""/>
                <w:bCs/>
                <w:kern w:val="0"/>
                <w:szCs w:val="22"/>
                <w:lang w:val="en-US" w:eastAsia="en-US" w:bidi="ar-SA"/>
              </w:rPr>
            </w:pPr>
            <w:r>
              <w:rPr>
                <w:rFonts w:eastAsia="ＭＳ ゴシック" w:cs="" w:ascii="Calibri" w:hAnsi="Calibri"/>
                <w:b/>
                <w:bCs/>
                <w:kern w:val="0"/>
                <w:sz w:val="18"/>
                <w:szCs w:val="22"/>
                <w:lang w:val="en-US" w:eastAsia="en-US" w:bidi="ar-SA"/>
              </w:rPr>
              <w:t>Date / heure validation</w:t>
            </w:r>
          </w:p>
        </w:tc>
        <w:tc>
          <w:tcPr>
            <w:tcW w:w="4319" w:type="dxa"/>
            <w:tcBorders/>
            <w:shd w:color="auto" w:fill="D3DFEE" w:themeFill="accent1" w:themeFillTint="3f" w:val="clear"/>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8"/>
                <w:szCs w:val="22"/>
                <w:lang w:val="en-US" w:eastAsia="en-US" w:bidi="ar-SA"/>
              </w:rPr>
              <w:t>[À compléter après validation]</w:t>
            </w:r>
          </w:p>
        </w:tc>
      </w:tr>
      <w:tr>
        <w:trPr/>
        <w:tc>
          <w:tcPr>
            <w:tcW w:w="4320" w:type="dxa"/>
            <w:tcBorders/>
            <w:shd w:fill="F8FAFC"/>
            <w:vAlign w:val="center"/>
          </w:tcPr>
          <w:p>
            <w:pPr>
              <w:pStyle w:val="Normal"/>
              <w:widowControl w:val="false"/>
              <w:suppressAutoHyphens w:val="true"/>
              <w:spacing w:lineRule="auto" w:line="240" w:before="0" w:after="0"/>
              <w:jc w:val="left"/>
              <w:rPr>
                <w:rFonts w:ascii="Calibri" w:hAnsi="Calibri" w:eastAsia="ＭＳ ゴシック" w:cs=""/>
                <w:bCs/>
                <w:kern w:val="0"/>
                <w:szCs w:val="22"/>
                <w:lang w:val="en-US" w:eastAsia="en-US" w:bidi="ar-SA"/>
              </w:rPr>
            </w:pPr>
            <w:r>
              <w:rPr>
                <w:rFonts w:eastAsia="ＭＳ ゴシック" w:cs="" w:ascii="Calibri" w:hAnsi="Calibri"/>
                <w:b/>
                <w:bCs/>
                <w:kern w:val="0"/>
                <w:sz w:val="18"/>
                <w:szCs w:val="22"/>
                <w:lang w:val="en-US" w:eastAsia="en-US" w:bidi="ar-SA"/>
              </w:rPr>
              <w:t>Canal de validation</w:t>
            </w:r>
          </w:p>
        </w:tc>
        <w:tc>
          <w:tcPr>
            <w:tcW w:w="4319" w:type="dxa"/>
            <w:tcBorders/>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8"/>
                <w:szCs w:val="22"/>
                <w:lang w:val="en-US" w:eastAsia="en-US" w:bidi="ar-SA"/>
              </w:rPr>
              <w:t>[Réunion orale · Message Teams · Email]</w:t>
            </w:r>
          </w:p>
        </w:tc>
      </w:tr>
      <w:tr>
        <w:trPr/>
        <w:tc>
          <w:tcPr>
            <w:tcW w:w="4320" w:type="dxa"/>
            <w:tcBorders/>
            <w:shd w:fill="F8FAFC"/>
            <w:vAlign w:val="center"/>
          </w:tcPr>
          <w:p>
            <w:pPr>
              <w:pStyle w:val="Normal"/>
              <w:widowControl w:val="false"/>
              <w:suppressAutoHyphens w:val="true"/>
              <w:spacing w:lineRule="auto" w:line="240" w:before="0" w:after="0"/>
              <w:jc w:val="left"/>
              <w:rPr>
                <w:rFonts w:ascii="Calibri" w:hAnsi="Calibri" w:eastAsia="ＭＳ ゴシック" w:cs=""/>
                <w:bCs/>
                <w:kern w:val="0"/>
                <w:szCs w:val="22"/>
                <w:lang w:val="en-US" w:eastAsia="en-US" w:bidi="ar-SA"/>
              </w:rPr>
            </w:pPr>
            <w:r>
              <w:rPr>
                <w:rFonts w:eastAsia="ＭＳ ゴシック" w:cs="" w:ascii="Calibri" w:hAnsi="Calibri"/>
                <w:b/>
                <w:bCs/>
                <w:kern w:val="0"/>
                <w:sz w:val="18"/>
                <w:szCs w:val="22"/>
                <w:lang w:val="en-US" w:eastAsia="en-US" w:bidi="ar-SA"/>
              </w:rPr>
              <w:t>Trace / preuve</w:t>
            </w:r>
          </w:p>
        </w:tc>
        <w:tc>
          <w:tcPr>
            <w:tcW w:w="4319" w:type="dxa"/>
            <w:tcBorders/>
            <w:shd w:color="auto" w:fill="D3DFEE" w:themeFill="accent1" w:themeFillTint="3f" w:val="clear"/>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8"/>
                <w:szCs w:val="22"/>
                <w:lang w:val="en-US" w:eastAsia="en-US" w:bidi="ar-SA"/>
              </w:rPr>
              <w:t>[Capture ou compte-rendu à joindre]</w:t>
            </w:r>
          </w:p>
        </w:tc>
      </w:tr>
      <w:tr>
        <w:trPr/>
        <w:tc>
          <w:tcPr>
            <w:tcW w:w="4320" w:type="dxa"/>
            <w:tcBorders/>
            <w:shd w:fill="F8FAFC"/>
            <w:vAlign w:val="center"/>
          </w:tcPr>
          <w:p>
            <w:pPr>
              <w:pStyle w:val="Normal"/>
              <w:widowControl w:val="false"/>
              <w:suppressAutoHyphens w:val="true"/>
              <w:spacing w:lineRule="auto" w:line="240" w:before="0" w:after="0"/>
              <w:jc w:val="left"/>
              <w:rPr>
                <w:rFonts w:ascii="Calibri" w:hAnsi="Calibri" w:eastAsia="ＭＳ ゴシック" w:cs=""/>
                <w:bCs/>
                <w:kern w:val="0"/>
                <w:szCs w:val="22"/>
                <w:lang w:val="en-US" w:eastAsia="en-US" w:bidi="ar-SA"/>
              </w:rPr>
            </w:pPr>
            <w:r>
              <w:rPr>
                <w:rFonts w:eastAsia="ＭＳ ゴシック" w:cs="" w:ascii="Calibri" w:hAnsi="Calibri"/>
                <w:b/>
                <w:bCs/>
                <w:kern w:val="0"/>
                <w:sz w:val="18"/>
                <w:szCs w:val="22"/>
                <w:lang w:val="en-US" w:eastAsia="en-US" w:bidi="ar-SA"/>
              </w:rPr>
              <w:t>Statut</w:t>
            </w:r>
          </w:p>
        </w:tc>
        <w:tc>
          <w:tcPr>
            <w:tcW w:w="4319" w:type="dxa"/>
            <w:tcBorders/>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8"/>
                <w:szCs w:val="22"/>
                <w:lang w:val="en-US" w:eastAsia="en-US" w:bidi="ar-SA"/>
              </w:rPr>
              <w:t xml:space="preserve">☐ </w:t>
            </w:r>
            <w:r>
              <w:rPr>
                <w:rFonts w:eastAsia="ＭＳ 明朝" w:cs=""/>
                <w:b w:val="false"/>
                <w:kern w:val="0"/>
                <w:sz w:val="18"/>
                <w:szCs w:val="22"/>
                <w:lang w:val="en-US" w:eastAsia="en-US" w:bidi="ar-SA"/>
              </w:rPr>
              <w:t>Validé   ☐ Validé sous conditions   ☐ Rejeté   ☒ En attente</w:t>
            </w:r>
          </w:p>
        </w:tc>
      </w:tr>
    </w:tbl>
    <w:p>
      <w:pPr>
        <w:pStyle w:val="Normal"/>
        <w:rPr/>
      </w:pPr>
      <w:r>
        <w:rPr/>
      </w:r>
      <w:r>
        <w:br w:type="page"/>
      </w:r>
    </w:p>
    <w:p>
      <w:pPr>
        <w:pStyle w:val="Heading1"/>
        <w:rPr/>
      </w:pPr>
      <w:bookmarkStart w:id="11" w:name="__RefHeading___Toc11859_1316170329"/>
      <w:bookmarkEnd w:id="11"/>
      <w:r>
        <w:rPr>
          <w:color w:val="1E1B4B"/>
        </w:rPr>
        <w:t xml:space="preserve">✅ </w:t>
      </w:r>
      <w:r>
        <w:rPr>
          <w:color w:val="1E1B4B"/>
        </w:rPr>
        <w:t>Grille d'auto-évaluation</w:t>
      </w:r>
    </w:p>
    <w:p>
      <w:pPr>
        <w:pStyle w:val="Normal"/>
        <w:rPr/>
      </w:pPr>
      <w:r>
        <w:rPr>
          <w:i/>
          <w:color w:val="475569"/>
          <w:sz w:val="20"/>
        </w:rPr>
        <w:t>À remplir par l'équipe avant de soumettre le livrable au Product Owner. Un livrable rempli avec « Partiel » sur plusieurs lignes signale un besoin de revue collective avant validation.</w:t>
      </w:r>
    </w:p>
    <w:tbl>
      <w:tblPr>
        <w:tblStyle w:val="LightGrid-Accent1"/>
        <w:tblW w:w="9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252"/>
        <w:gridCol w:w="2551"/>
        <w:gridCol w:w="2835"/>
      </w:tblGrid>
      <w:tr>
        <w:trPr/>
        <w:tc>
          <w:tcPr>
            <w:tcW w:w="4252" w:type="dxa"/>
            <w:tcBorders>
              <w:bottom w:val="single" w:sz="18" w:space="0" w:color="4F81BD"/>
            </w:tcBorders>
            <w:shd w:fill="1E1B4B"/>
          </w:tcPr>
          <w:p>
            <w:pPr>
              <w:pStyle w:val="Normal"/>
              <w:widowControl w:val="false"/>
              <w:suppressAutoHyphens w:val="true"/>
              <w:spacing w:lineRule="auto" w:line="240" w:before="0" w:after="0"/>
              <w:jc w:val="left"/>
              <w:rPr>
                <w:rFonts w:ascii="Calibri" w:hAnsi="Calibri" w:eastAsia="ＭＳ ゴシック" w:cs=""/>
                <w:bCs/>
                <w:kern w:val="0"/>
                <w:szCs w:val="22"/>
                <w:lang w:val="en-US" w:eastAsia="en-US" w:bidi="ar-SA"/>
              </w:rPr>
            </w:pPr>
            <w:r>
              <w:rPr>
                <w:rFonts w:eastAsia="ＭＳ ゴシック" w:cs="" w:ascii="Calibri" w:hAnsi="Calibri"/>
                <w:b/>
                <w:bCs/>
                <w:color w:val="FFFFFF"/>
                <w:kern w:val="0"/>
                <w:sz w:val="18"/>
                <w:szCs w:val="22"/>
                <w:lang w:val="en-US" w:eastAsia="en-US" w:bidi="ar-SA"/>
              </w:rPr>
              <w:t>Critère qualité</w:t>
            </w:r>
          </w:p>
        </w:tc>
        <w:tc>
          <w:tcPr>
            <w:tcW w:w="2551" w:type="dxa"/>
            <w:tcBorders>
              <w:bottom w:val="single" w:sz="18" w:space="0" w:color="4F81BD"/>
            </w:tcBorders>
            <w:shd w:fill="1E1B4B"/>
          </w:tcPr>
          <w:p>
            <w:pPr>
              <w:pStyle w:val="Normal"/>
              <w:widowControl w:val="false"/>
              <w:suppressAutoHyphens w:val="true"/>
              <w:spacing w:lineRule="auto" w:line="240" w:before="0" w:after="0"/>
              <w:jc w:val="left"/>
              <w:rPr>
                <w:rFonts w:ascii="Calibri" w:hAnsi="Calibri" w:eastAsia="ＭＳ ゴシック" w:cs=""/>
                <w:bCs/>
                <w:kern w:val="0"/>
                <w:szCs w:val="22"/>
                <w:lang w:val="en-US" w:eastAsia="en-US" w:bidi="ar-SA"/>
              </w:rPr>
            </w:pPr>
            <w:r>
              <w:rPr>
                <w:rFonts w:eastAsia="ＭＳ ゴシック" w:cs="" w:ascii="Calibri" w:hAnsi="Calibri"/>
                <w:b/>
                <w:bCs/>
                <w:color w:val="FFFFFF"/>
                <w:kern w:val="0"/>
                <w:sz w:val="18"/>
                <w:szCs w:val="22"/>
                <w:lang w:val="en-US" w:eastAsia="en-US" w:bidi="ar-SA"/>
              </w:rPr>
              <w:t>Auto-évaluation</w:t>
            </w:r>
          </w:p>
        </w:tc>
        <w:tc>
          <w:tcPr>
            <w:tcW w:w="2835" w:type="dxa"/>
            <w:tcBorders>
              <w:bottom w:val="single" w:sz="18" w:space="0" w:color="4F81BD"/>
            </w:tcBorders>
            <w:shd w:fill="1E1B4B"/>
          </w:tcPr>
          <w:p>
            <w:pPr>
              <w:pStyle w:val="Normal"/>
              <w:widowControl w:val="false"/>
              <w:suppressAutoHyphens w:val="true"/>
              <w:spacing w:lineRule="auto" w:line="240" w:before="0" w:after="0"/>
              <w:jc w:val="left"/>
              <w:rPr>
                <w:rFonts w:ascii="Calibri" w:hAnsi="Calibri" w:eastAsia="ＭＳ ゴシック" w:cs=""/>
                <w:bCs/>
                <w:kern w:val="0"/>
                <w:szCs w:val="22"/>
                <w:lang w:val="en-US" w:eastAsia="en-US" w:bidi="ar-SA"/>
              </w:rPr>
            </w:pPr>
            <w:r>
              <w:rPr>
                <w:rFonts w:eastAsia="ＭＳ ゴシック" w:cs="" w:ascii="Calibri" w:hAnsi="Calibri"/>
                <w:b/>
                <w:bCs/>
                <w:color w:val="FFFFFF"/>
                <w:kern w:val="0"/>
                <w:sz w:val="18"/>
                <w:szCs w:val="22"/>
                <w:lang w:val="en-US" w:eastAsia="en-US" w:bidi="ar-SA"/>
              </w:rPr>
              <w:t>Commentaire / preuve</w:t>
            </w:r>
          </w:p>
        </w:tc>
      </w:tr>
      <w:tr>
        <w:trPr/>
        <w:tc>
          <w:tcPr>
            <w:tcW w:w="4252" w:type="dxa"/>
            <w:tcBorders/>
            <w:shd w:color="auto" w:fill="D3DFEE" w:themeFill="accent1" w:themeFillTint="3f" w:val="clear"/>
          </w:tcPr>
          <w:p>
            <w:pPr>
              <w:pStyle w:val="Normal"/>
              <w:widowControl w:val="false"/>
              <w:suppressAutoHyphens w:val="true"/>
              <w:spacing w:lineRule="auto" w:line="240" w:before="0" w:after="0"/>
              <w:jc w:val="left"/>
              <w:rPr>
                <w:rFonts w:ascii="Calibri" w:hAnsi="Calibri" w:eastAsia="ＭＳ ゴシック" w:cs=""/>
                <w:b/>
                <w:b/>
                <w:bCs/>
                <w:kern w:val="0"/>
                <w:szCs w:val="22"/>
                <w:lang w:val="en-US" w:eastAsia="en-US" w:bidi="ar-SA"/>
              </w:rPr>
            </w:pPr>
            <w:r>
              <w:rPr>
                <w:rFonts w:eastAsia="ＭＳ ゴシック" w:cs="" w:ascii="Calibri" w:hAnsi="Calibri"/>
                <w:b/>
                <w:bCs/>
                <w:kern w:val="0"/>
                <w:sz w:val="20"/>
                <w:szCs w:val="22"/>
                <w:lang w:val="en-US" w:eastAsia="en-US" w:bidi="ar-SA"/>
              </w:rPr>
              <w:t>La perturbation déclenchante est explicitement nommée (J1, J3, J3-bis, J4)</w:t>
            </w:r>
          </w:p>
        </w:tc>
        <w:tc>
          <w:tcPr>
            <w:tcW w:w="2551" w:type="dxa"/>
            <w:tcBorders/>
            <w:shd w:color="auto" w:fill="D3DFEE" w:themeFill="accent1" w:themeFillTint="3f" w:val="clear"/>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8"/>
                <w:szCs w:val="22"/>
                <w:lang w:val="en-US" w:eastAsia="en-US" w:bidi="ar-SA"/>
              </w:rPr>
              <w:t xml:space="preserve">☒ </w:t>
            </w:r>
            <w:r>
              <w:rPr>
                <w:rFonts w:eastAsia="ＭＳ 明朝" w:cs=""/>
                <w:b w:val="false"/>
                <w:kern w:val="0"/>
                <w:sz w:val="18"/>
                <w:szCs w:val="22"/>
                <w:lang w:val="en-US" w:eastAsia="en-US" w:bidi="ar-SA"/>
              </w:rPr>
              <w:t>Oui   ☐ Partiel   ☐ Non</w:t>
            </w:r>
          </w:p>
        </w:tc>
        <w:tc>
          <w:tcPr>
            <w:tcW w:w="2835" w:type="dxa"/>
            <w:tcBorders/>
            <w:shd w:color="auto" w:fill="D3DFEE" w:themeFill="accent1" w:themeFillTint="3f" w:val="clear"/>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7"/>
                <w:szCs w:val="22"/>
                <w:lang w:val="en-US" w:eastAsia="en-US" w:bidi="ar-SA"/>
              </w:rPr>
              <w:t>Oui - perturbation J1 Mme Lefèvre explicitement nommée.</w:t>
            </w:r>
          </w:p>
        </w:tc>
      </w:tr>
      <w:tr>
        <w:trPr/>
        <w:tc>
          <w:tcPr>
            <w:tcW w:w="4252" w:type="dxa"/>
            <w:tcBorders/>
          </w:tcPr>
          <w:p>
            <w:pPr>
              <w:pStyle w:val="Normal"/>
              <w:widowControl w:val="false"/>
              <w:suppressAutoHyphens w:val="true"/>
              <w:spacing w:lineRule="auto" w:line="240" w:before="0" w:after="0"/>
              <w:jc w:val="left"/>
              <w:rPr>
                <w:rFonts w:ascii="Calibri" w:hAnsi="Calibri" w:eastAsia="ＭＳ ゴシック" w:cs=""/>
                <w:b/>
                <w:b/>
                <w:bCs/>
                <w:kern w:val="0"/>
                <w:szCs w:val="22"/>
                <w:lang w:val="en-US" w:eastAsia="en-US" w:bidi="ar-SA"/>
              </w:rPr>
            </w:pPr>
            <w:r>
              <w:rPr>
                <w:rFonts w:eastAsia="ＭＳ ゴシック" w:cs="" w:ascii="Calibri" w:hAnsi="Calibri"/>
                <w:b/>
                <w:bCs/>
                <w:kern w:val="0"/>
                <w:sz w:val="20"/>
                <w:szCs w:val="22"/>
                <w:lang w:val="en-US" w:eastAsia="en-US" w:bidi="ar-SA"/>
              </w:rPr>
              <w:t>La situation factuelle est décrite sans interprétation ni émotion</w:t>
            </w:r>
          </w:p>
        </w:tc>
        <w:tc>
          <w:tcPr>
            <w:tcW w:w="2551" w:type="dxa"/>
            <w:tcBorders/>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8"/>
                <w:szCs w:val="22"/>
                <w:lang w:val="en-US" w:eastAsia="en-US" w:bidi="ar-SA"/>
              </w:rPr>
              <w:t xml:space="preserve">☒ </w:t>
            </w:r>
            <w:r>
              <w:rPr>
                <w:rFonts w:eastAsia="ＭＳ 明朝" w:cs=""/>
                <w:b w:val="false"/>
                <w:kern w:val="0"/>
                <w:sz w:val="18"/>
                <w:szCs w:val="22"/>
                <w:lang w:val="en-US" w:eastAsia="en-US" w:bidi="ar-SA"/>
              </w:rPr>
              <w:t>Oui   ☐ Partiel   ☐ Non</w:t>
            </w:r>
          </w:p>
        </w:tc>
        <w:tc>
          <w:tcPr>
            <w:tcW w:w="2835" w:type="dxa"/>
            <w:tcBorders/>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7"/>
                <w:szCs w:val="22"/>
                <w:lang w:val="en-US" w:eastAsia="en-US" w:bidi="ar-SA"/>
              </w:rPr>
              <w:t>Oui - situation décrite à partir des faits : sponsor, enseignante, 28 étudiants, scores, décrochage, conseils.</w:t>
            </w:r>
          </w:p>
        </w:tc>
      </w:tr>
      <w:tr>
        <w:trPr/>
        <w:tc>
          <w:tcPr>
            <w:tcW w:w="4252" w:type="dxa"/>
            <w:tcBorders/>
            <w:shd w:color="auto" w:fill="D3DFEE" w:themeFill="accent1" w:themeFillTint="3f" w:val="clear"/>
          </w:tcPr>
          <w:p>
            <w:pPr>
              <w:pStyle w:val="Normal"/>
              <w:widowControl w:val="false"/>
              <w:suppressAutoHyphens w:val="true"/>
              <w:spacing w:lineRule="auto" w:line="240" w:before="0" w:after="0"/>
              <w:jc w:val="left"/>
              <w:rPr>
                <w:rFonts w:ascii="Calibri" w:hAnsi="Calibri" w:eastAsia="ＭＳ ゴシック" w:cs=""/>
                <w:b/>
                <w:b/>
                <w:bCs/>
                <w:kern w:val="0"/>
                <w:szCs w:val="22"/>
                <w:lang w:val="en-US" w:eastAsia="en-US" w:bidi="ar-SA"/>
              </w:rPr>
            </w:pPr>
            <w:r>
              <w:rPr>
                <w:rFonts w:eastAsia="ＭＳ ゴシック" w:cs="" w:ascii="Calibri" w:hAnsi="Calibri"/>
                <w:b/>
                <w:bCs/>
                <w:kern w:val="0"/>
                <w:sz w:val="20"/>
                <w:szCs w:val="22"/>
                <w:lang w:val="en-US" w:eastAsia="en-US" w:bidi="ar-SA"/>
              </w:rPr>
              <w:t>Au moins 3 stories candidates sont listées avec un niveau MoSCoW assigné</w:t>
            </w:r>
          </w:p>
        </w:tc>
        <w:tc>
          <w:tcPr>
            <w:tcW w:w="2551" w:type="dxa"/>
            <w:tcBorders/>
            <w:shd w:color="auto" w:fill="D3DFEE" w:themeFill="accent1" w:themeFillTint="3f" w:val="clear"/>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8"/>
                <w:szCs w:val="22"/>
                <w:lang w:val="en-US" w:eastAsia="en-US" w:bidi="ar-SA"/>
              </w:rPr>
              <w:t xml:space="preserve">☒ </w:t>
            </w:r>
            <w:r>
              <w:rPr>
                <w:rFonts w:eastAsia="ＭＳ 明朝" w:cs=""/>
                <w:b w:val="false"/>
                <w:kern w:val="0"/>
                <w:sz w:val="18"/>
                <w:szCs w:val="22"/>
                <w:lang w:val="en-US" w:eastAsia="en-US" w:bidi="ar-SA"/>
              </w:rPr>
              <w:t>Oui   ☐ Partiel   ☐ Non</w:t>
            </w:r>
          </w:p>
        </w:tc>
        <w:tc>
          <w:tcPr>
            <w:tcW w:w="2835" w:type="dxa"/>
            <w:tcBorders/>
            <w:shd w:color="auto" w:fill="D3DFEE" w:themeFill="accent1" w:themeFillTint="3f" w:val="clear"/>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7"/>
                <w:szCs w:val="22"/>
                <w:lang w:val="en-US" w:eastAsia="en-US" w:bidi="ar-SA"/>
              </w:rPr>
              <w:t>Oui - 5 lignes candidates dont 3 SHOULD et 1 WON'T R1.</w:t>
            </w:r>
          </w:p>
        </w:tc>
      </w:tr>
      <w:tr>
        <w:trPr/>
        <w:tc>
          <w:tcPr>
            <w:tcW w:w="4252" w:type="dxa"/>
            <w:tcBorders/>
          </w:tcPr>
          <w:p>
            <w:pPr>
              <w:pStyle w:val="Normal"/>
              <w:widowControl w:val="false"/>
              <w:suppressAutoHyphens w:val="true"/>
              <w:spacing w:lineRule="auto" w:line="240" w:before="0" w:after="0"/>
              <w:jc w:val="left"/>
              <w:rPr>
                <w:rFonts w:ascii="Calibri" w:hAnsi="Calibri" w:eastAsia="ＭＳ ゴシック" w:cs=""/>
                <w:b/>
                <w:b/>
                <w:bCs/>
                <w:kern w:val="0"/>
                <w:szCs w:val="22"/>
                <w:lang w:val="en-US" w:eastAsia="en-US" w:bidi="ar-SA"/>
              </w:rPr>
            </w:pPr>
            <w:r>
              <w:rPr>
                <w:rFonts w:eastAsia="ＭＳ ゴシック" w:cs="" w:ascii="Calibri" w:hAnsi="Calibri"/>
                <w:b/>
                <w:bCs/>
                <w:kern w:val="0"/>
                <w:sz w:val="20"/>
                <w:szCs w:val="22"/>
                <w:lang w:val="en-US" w:eastAsia="en-US" w:bidi="ar-SA"/>
              </w:rPr>
              <w:t>Chaque story candidate a un score Impact/Effort chiffré (formule explicite)</w:t>
            </w:r>
          </w:p>
        </w:tc>
        <w:tc>
          <w:tcPr>
            <w:tcW w:w="2551" w:type="dxa"/>
            <w:tcBorders/>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8"/>
                <w:szCs w:val="22"/>
                <w:lang w:val="en-US" w:eastAsia="en-US" w:bidi="ar-SA"/>
              </w:rPr>
              <w:t xml:space="preserve">☒ </w:t>
            </w:r>
            <w:r>
              <w:rPr>
                <w:rFonts w:eastAsia="ＭＳ 明朝" w:cs=""/>
                <w:b w:val="false"/>
                <w:kern w:val="0"/>
                <w:sz w:val="18"/>
                <w:szCs w:val="22"/>
                <w:lang w:val="en-US" w:eastAsia="en-US" w:bidi="ar-SA"/>
              </w:rPr>
              <w:t>Oui   ☐ Partiel   ☐ Non</w:t>
            </w:r>
          </w:p>
        </w:tc>
        <w:tc>
          <w:tcPr>
            <w:tcW w:w="2835" w:type="dxa"/>
            <w:tcBorders/>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7"/>
                <w:szCs w:val="22"/>
                <w:lang w:val="en-US" w:eastAsia="en-US" w:bidi="ar-SA"/>
              </w:rPr>
              <w:t>Oui - score calculé avec la formule Impact × 10 / Effort.</w:t>
            </w:r>
          </w:p>
        </w:tc>
      </w:tr>
      <w:tr>
        <w:trPr/>
        <w:tc>
          <w:tcPr>
            <w:tcW w:w="4252" w:type="dxa"/>
            <w:tcBorders/>
            <w:shd w:color="auto" w:fill="D3DFEE" w:themeFill="accent1" w:themeFillTint="3f" w:val="clear"/>
          </w:tcPr>
          <w:p>
            <w:pPr>
              <w:pStyle w:val="Normal"/>
              <w:widowControl w:val="false"/>
              <w:suppressAutoHyphens w:val="true"/>
              <w:spacing w:lineRule="auto" w:line="240" w:before="0" w:after="0"/>
              <w:jc w:val="left"/>
              <w:rPr>
                <w:rFonts w:ascii="Calibri" w:hAnsi="Calibri" w:eastAsia="ＭＳ ゴシック" w:cs=""/>
                <w:b/>
                <w:b/>
                <w:bCs/>
                <w:kern w:val="0"/>
                <w:szCs w:val="22"/>
                <w:lang w:val="en-US" w:eastAsia="en-US" w:bidi="ar-SA"/>
              </w:rPr>
            </w:pPr>
            <w:r>
              <w:rPr>
                <w:rFonts w:eastAsia="ＭＳ ゴシック" w:cs="" w:ascii="Calibri" w:hAnsi="Calibri"/>
                <w:b/>
                <w:bCs/>
                <w:kern w:val="0"/>
                <w:sz w:val="20"/>
                <w:szCs w:val="22"/>
                <w:lang w:val="en-US" w:eastAsia="en-US" w:bidi="ar-SA"/>
              </w:rPr>
              <w:t>La contrepartie obligatoire est documentée pour CHAQUE story ajoutée</w:t>
            </w:r>
          </w:p>
        </w:tc>
        <w:tc>
          <w:tcPr>
            <w:tcW w:w="2551" w:type="dxa"/>
            <w:tcBorders/>
            <w:shd w:color="auto" w:fill="D3DFEE" w:themeFill="accent1" w:themeFillTint="3f" w:val="clear"/>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8"/>
                <w:szCs w:val="22"/>
                <w:lang w:val="en-US" w:eastAsia="en-US" w:bidi="ar-SA"/>
              </w:rPr>
              <w:t xml:space="preserve">☒ </w:t>
            </w:r>
            <w:r>
              <w:rPr>
                <w:rFonts w:eastAsia="ＭＳ 明朝" w:cs=""/>
                <w:b w:val="false"/>
                <w:kern w:val="0"/>
                <w:sz w:val="18"/>
                <w:szCs w:val="22"/>
                <w:lang w:val="en-US" w:eastAsia="en-US" w:bidi="ar-SA"/>
              </w:rPr>
              <w:t>Oui   ☐ Partiel   ☐ Non</w:t>
            </w:r>
          </w:p>
        </w:tc>
        <w:tc>
          <w:tcPr>
            <w:tcW w:w="2835" w:type="dxa"/>
            <w:tcBorders/>
            <w:shd w:color="auto" w:fill="D3DFEE" w:themeFill="accent1" w:themeFillTint="3f" w:val="clear"/>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7"/>
                <w:szCs w:val="22"/>
                <w:lang w:val="en-US" w:eastAsia="en-US" w:bidi="ar-SA"/>
              </w:rPr>
              <w:t>Oui - chaque ajout est compensé par P7/P9 du catalogue.</w:t>
            </w:r>
          </w:p>
        </w:tc>
      </w:tr>
      <w:tr>
        <w:trPr/>
        <w:tc>
          <w:tcPr>
            <w:tcW w:w="4252" w:type="dxa"/>
            <w:tcBorders/>
          </w:tcPr>
          <w:p>
            <w:pPr>
              <w:pStyle w:val="Normal"/>
              <w:widowControl w:val="false"/>
              <w:suppressAutoHyphens w:val="true"/>
              <w:spacing w:lineRule="auto" w:line="240" w:before="0" w:after="0"/>
              <w:jc w:val="left"/>
              <w:rPr>
                <w:rFonts w:ascii="Calibri" w:hAnsi="Calibri" w:eastAsia="ＭＳ ゴシック" w:cs=""/>
                <w:b/>
                <w:b/>
                <w:bCs/>
                <w:kern w:val="0"/>
                <w:szCs w:val="22"/>
                <w:lang w:val="en-US" w:eastAsia="en-US" w:bidi="ar-SA"/>
              </w:rPr>
            </w:pPr>
            <w:r>
              <w:rPr>
                <w:rFonts w:eastAsia="ＭＳ ゴシック" w:cs="" w:ascii="Calibri" w:hAnsi="Calibri"/>
                <w:b/>
                <w:bCs/>
                <w:kern w:val="0"/>
                <w:sz w:val="20"/>
                <w:szCs w:val="22"/>
                <w:lang w:val="en-US" w:eastAsia="en-US" w:bidi="ar-SA"/>
              </w:rPr>
              <w:t>Le bilan net SP (ajout - retrait) est calculé et raisonnable</w:t>
            </w:r>
          </w:p>
        </w:tc>
        <w:tc>
          <w:tcPr>
            <w:tcW w:w="2551" w:type="dxa"/>
            <w:tcBorders/>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8"/>
                <w:szCs w:val="22"/>
                <w:lang w:val="en-US" w:eastAsia="en-US" w:bidi="ar-SA"/>
              </w:rPr>
              <w:t xml:space="preserve">☒ </w:t>
            </w:r>
            <w:r>
              <w:rPr>
                <w:rFonts w:eastAsia="ＭＳ 明朝" w:cs=""/>
                <w:b w:val="false"/>
                <w:kern w:val="0"/>
                <w:sz w:val="18"/>
                <w:szCs w:val="22"/>
                <w:lang w:val="en-US" w:eastAsia="en-US" w:bidi="ar-SA"/>
              </w:rPr>
              <w:t>Oui   ☐ Partiel   ☐ Non</w:t>
            </w:r>
          </w:p>
        </w:tc>
        <w:tc>
          <w:tcPr>
            <w:tcW w:w="2835" w:type="dxa"/>
            <w:tcBorders/>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7"/>
                <w:szCs w:val="22"/>
                <w:lang w:val="en-US" w:eastAsia="en-US" w:bidi="ar-SA"/>
              </w:rPr>
              <w:t>Oui - +8 SP / -8 SP, capacité S1-S5 maintenue à 35 SP.</w:t>
            </w:r>
          </w:p>
        </w:tc>
      </w:tr>
      <w:tr>
        <w:trPr/>
        <w:tc>
          <w:tcPr>
            <w:tcW w:w="4252" w:type="dxa"/>
            <w:tcBorders/>
            <w:shd w:color="auto" w:fill="D3DFEE" w:themeFill="accent1" w:themeFillTint="3f" w:val="clear"/>
          </w:tcPr>
          <w:p>
            <w:pPr>
              <w:pStyle w:val="Normal"/>
              <w:widowControl w:val="false"/>
              <w:suppressAutoHyphens w:val="true"/>
              <w:spacing w:lineRule="auto" w:line="240" w:before="0" w:after="0"/>
              <w:jc w:val="left"/>
              <w:rPr>
                <w:rFonts w:ascii="Calibri" w:hAnsi="Calibri" w:eastAsia="ＭＳ ゴシック" w:cs=""/>
                <w:b/>
                <w:b/>
                <w:bCs/>
                <w:kern w:val="0"/>
                <w:szCs w:val="22"/>
                <w:lang w:val="en-US" w:eastAsia="en-US" w:bidi="ar-SA"/>
              </w:rPr>
            </w:pPr>
            <w:r>
              <w:rPr>
                <w:rFonts w:eastAsia="ＭＳ ゴシック" w:cs="" w:ascii="Calibri" w:hAnsi="Calibri"/>
                <w:b/>
                <w:bCs/>
                <w:kern w:val="0"/>
                <w:sz w:val="20"/>
                <w:szCs w:val="22"/>
                <w:lang w:val="en-US" w:eastAsia="en-US" w:bidi="ar-SA"/>
              </w:rPr>
              <w:t>L'impact sur Release 1 et Release 2 est explicité section par section</w:t>
            </w:r>
          </w:p>
        </w:tc>
        <w:tc>
          <w:tcPr>
            <w:tcW w:w="2551" w:type="dxa"/>
            <w:tcBorders/>
            <w:shd w:color="auto" w:fill="D3DFEE" w:themeFill="accent1" w:themeFillTint="3f" w:val="clear"/>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8"/>
                <w:szCs w:val="22"/>
                <w:lang w:val="en-US" w:eastAsia="en-US" w:bidi="ar-SA"/>
              </w:rPr>
              <w:t xml:space="preserve">☒ </w:t>
            </w:r>
            <w:r>
              <w:rPr>
                <w:rFonts w:eastAsia="ＭＳ 明朝" w:cs=""/>
                <w:b w:val="false"/>
                <w:kern w:val="0"/>
                <w:sz w:val="18"/>
                <w:szCs w:val="22"/>
                <w:lang w:val="en-US" w:eastAsia="en-US" w:bidi="ar-SA"/>
              </w:rPr>
              <w:t>Oui   ☐ Partiel   ☐ Non</w:t>
            </w:r>
          </w:p>
        </w:tc>
        <w:tc>
          <w:tcPr>
            <w:tcW w:w="2835" w:type="dxa"/>
            <w:tcBorders/>
            <w:shd w:color="auto" w:fill="D3DFEE" w:themeFill="accent1" w:themeFillTint="3f" w:val="clear"/>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7"/>
                <w:szCs w:val="22"/>
                <w:lang w:val="en-US" w:eastAsia="en-US" w:bidi="ar-SA"/>
              </w:rPr>
              <w:t>Oui - R1 modifiée en SHOULD enseignant ; fonctionnalités avancées reportées.</w:t>
            </w:r>
          </w:p>
        </w:tc>
      </w:tr>
      <w:tr>
        <w:trPr/>
        <w:tc>
          <w:tcPr>
            <w:tcW w:w="4252" w:type="dxa"/>
            <w:tcBorders/>
          </w:tcPr>
          <w:p>
            <w:pPr>
              <w:pStyle w:val="Normal"/>
              <w:widowControl w:val="false"/>
              <w:suppressAutoHyphens w:val="true"/>
              <w:spacing w:lineRule="auto" w:line="240" w:before="0" w:after="0"/>
              <w:jc w:val="left"/>
              <w:rPr>
                <w:rFonts w:ascii="Calibri" w:hAnsi="Calibri" w:eastAsia="ＭＳ ゴシック" w:cs=""/>
                <w:b/>
                <w:b/>
                <w:bCs/>
                <w:kern w:val="0"/>
                <w:szCs w:val="22"/>
                <w:lang w:val="en-US" w:eastAsia="en-US" w:bidi="ar-SA"/>
              </w:rPr>
            </w:pPr>
            <w:r>
              <w:rPr>
                <w:rFonts w:eastAsia="ＭＳ ゴシック" w:cs="" w:ascii="Calibri" w:hAnsi="Calibri"/>
                <w:b/>
                <w:bCs/>
                <w:kern w:val="0"/>
                <w:sz w:val="20"/>
                <w:szCs w:val="22"/>
                <w:lang w:val="en-US" w:eastAsia="en-US" w:bidi="ar-SA"/>
              </w:rPr>
              <w:t>Les stories décalées sont listées pour traçabilité backlog futur</w:t>
            </w:r>
          </w:p>
        </w:tc>
        <w:tc>
          <w:tcPr>
            <w:tcW w:w="2551" w:type="dxa"/>
            <w:tcBorders/>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8"/>
                <w:szCs w:val="22"/>
                <w:lang w:val="en-US" w:eastAsia="en-US" w:bidi="ar-SA"/>
              </w:rPr>
              <w:t xml:space="preserve">☒ </w:t>
            </w:r>
            <w:r>
              <w:rPr>
                <w:rFonts w:eastAsia="ＭＳ 明朝" w:cs=""/>
                <w:b w:val="false"/>
                <w:kern w:val="0"/>
                <w:sz w:val="18"/>
                <w:szCs w:val="22"/>
                <w:lang w:val="en-US" w:eastAsia="en-US" w:bidi="ar-SA"/>
              </w:rPr>
              <w:t>Oui   ☐ Partiel   ☐ Non</w:t>
            </w:r>
          </w:p>
        </w:tc>
        <w:tc>
          <w:tcPr>
            <w:tcW w:w="2835" w:type="dxa"/>
            <w:tcBorders/>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7"/>
                <w:szCs w:val="22"/>
                <w:lang w:val="en-US" w:eastAsia="en-US" w:bidi="ar-SA"/>
              </w:rPr>
              <w:t>Oui - P7, P9, US-24 complète et fonctions avancées listées.</w:t>
            </w:r>
          </w:p>
        </w:tc>
      </w:tr>
      <w:tr>
        <w:trPr/>
        <w:tc>
          <w:tcPr>
            <w:tcW w:w="4252" w:type="dxa"/>
            <w:tcBorders/>
            <w:shd w:color="auto" w:fill="D3DFEE" w:themeFill="accent1" w:themeFillTint="3f" w:val="clear"/>
          </w:tcPr>
          <w:p>
            <w:pPr>
              <w:pStyle w:val="Normal"/>
              <w:widowControl w:val="false"/>
              <w:suppressAutoHyphens w:val="true"/>
              <w:spacing w:lineRule="auto" w:line="240" w:before="0" w:after="0"/>
              <w:jc w:val="left"/>
              <w:rPr>
                <w:rFonts w:ascii="Calibri" w:hAnsi="Calibri" w:eastAsia="ＭＳ ゴシック" w:cs=""/>
                <w:b/>
                <w:b/>
                <w:bCs/>
                <w:kern w:val="0"/>
                <w:szCs w:val="22"/>
                <w:lang w:val="en-US" w:eastAsia="en-US" w:bidi="ar-SA"/>
              </w:rPr>
            </w:pPr>
            <w:r>
              <w:rPr>
                <w:rFonts w:eastAsia="ＭＳ ゴシック" w:cs="" w:ascii="Calibri" w:hAnsi="Calibri"/>
                <w:b/>
                <w:bCs/>
                <w:kern w:val="0"/>
                <w:sz w:val="20"/>
                <w:szCs w:val="22"/>
                <w:lang w:val="en-US" w:eastAsia="en-US" w:bidi="ar-SA"/>
              </w:rPr>
              <w:t>La validation PO est tracée (date, canal, preuve)</w:t>
            </w:r>
          </w:p>
        </w:tc>
        <w:tc>
          <w:tcPr>
            <w:tcW w:w="2551" w:type="dxa"/>
            <w:tcBorders/>
            <w:shd w:color="auto" w:fill="D3DFEE" w:themeFill="accent1" w:themeFillTint="3f" w:val="clear"/>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8"/>
                <w:szCs w:val="22"/>
                <w:lang w:val="en-US" w:eastAsia="en-US" w:bidi="ar-SA"/>
              </w:rPr>
              <w:t xml:space="preserve">☐ </w:t>
            </w:r>
            <w:r>
              <w:rPr>
                <w:rFonts w:eastAsia="ＭＳ 明朝" w:cs=""/>
                <w:b w:val="false"/>
                <w:kern w:val="0"/>
                <w:sz w:val="18"/>
                <w:szCs w:val="22"/>
                <w:lang w:val="en-US" w:eastAsia="en-US" w:bidi="ar-SA"/>
              </w:rPr>
              <w:t>Oui   ☒ Partiel   ☐ Non</w:t>
            </w:r>
          </w:p>
        </w:tc>
        <w:tc>
          <w:tcPr>
            <w:tcW w:w="2835" w:type="dxa"/>
            <w:tcBorders/>
            <w:shd w:color="auto" w:fill="D3DFEE" w:themeFill="accent1" w:themeFillTint="3f" w:val="clear"/>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7"/>
                <w:szCs w:val="22"/>
                <w:lang w:val="en-US" w:eastAsia="en-US" w:bidi="ar-SA"/>
              </w:rPr>
              <w:t>Partiel - bloc PO laissé à compléter après validation effective.</w:t>
            </w:r>
          </w:p>
        </w:tc>
      </w:tr>
      <w:tr>
        <w:trPr/>
        <w:tc>
          <w:tcPr>
            <w:tcW w:w="4252" w:type="dxa"/>
            <w:tcBorders/>
          </w:tcPr>
          <w:p>
            <w:pPr>
              <w:pStyle w:val="Normal"/>
              <w:widowControl w:val="false"/>
              <w:suppressAutoHyphens w:val="true"/>
              <w:spacing w:lineRule="auto" w:line="240" w:before="0" w:after="0"/>
              <w:jc w:val="left"/>
              <w:rPr>
                <w:rFonts w:ascii="Calibri" w:hAnsi="Calibri" w:eastAsia="ＭＳ ゴシック" w:cs=""/>
                <w:b/>
                <w:b/>
                <w:bCs/>
                <w:kern w:val="0"/>
                <w:szCs w:val="22"/>
                <w:lang w:val="en-US" w:eastAsia="en-US" w:bidi="ar-SA"/>
              </w:rPr>
            </w:pPr>
            <w:r>
              <w:rPr>
                <w:rFonts w:eastAsia="ＭＳ ゴシック" w:cs="" w:ascii="Calibri" w:hAnsi="Calibri"/>
                <w:b/>
                <w:bCs/>
                <w:kern w:val="0"/>
                <w:sz w:val="20"/>
                <w:szCs w:val="22"/>
                <w:lang w:val="en-US" w:eastAsia="en-US" w:bidi="ar-SA"/>
              </w:rPr>
              <w:t>La note tient en 1 à 2 pages (relisible en moins de 5 minutes)</w:t>
            </w:r>
          </w:p>
        </w:tc>
        <w:tc>
          <w:tcPr>
            <w:tcW w:w="2551" w:type="dxa"/>
            <w:tcBorders/>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8"/>
                <w:szCs w:val="22"/>
                <w:lang w:val="en-US" w:eastAsia="en-US" w:bidi="ar-SA"/>
              </w:rPr>
              <w:t xml:space="preserve">☒ </w:t>
            </w:r>
            <w:r>
              <w:rPr>
                <w:rFonts w:eastAsia="ＭＳ 明朝" w:cs=""/>
                <w:b w:val="false"/>
                <w:kern w:val="0"/>
                <w:sz w:val="18"/>
                <w:szCs w:val="22"/>
                <w:lang w:val="en-US" w:eastAsia="en-US" w:bidi="ar-SA"/>
              </w:rPr>
              <w:t>Oui   ☐ Partiel   ☐ Non</w:t>
            </w:r>
          </w:p>
        </w:tc>
        <w:tc>
          <w:tcPr>
            <w:tcW w:w="2835" w:type="dxa"/>
            <w:tcBorders/>
            <w:vAlign w:val="center"/>
          </w:tcPr>
          <w:p>
            <w:pPr>
              <w:pStyle w:val="Normal"/>
              <w:widowControl w:val="false"/>
              <w:suppressAutoHyphens w:val="true"/>
              <w:spacing w:lineRule="auto" w:line="240" w:before="0" w:after="0"/>
              <w:jc w:val="left"/>
              <w:rPr>
                <w:rFonts w:ascii="Cambria" w:hAnsi="Cambria" w:eastAsia="ＭＳ 明朝" w:cs=""/>
                <w:kern w:val="0"/>
                <w:szCs w:val="22"/>
                <w:lang w:val="en-US" w:eastAsia="en-US" w:bidi="ar-SA"/>
              </w:rPr>
            </w:pPr>
            <w:r>
              <w:rPr>
                <w:rFonts w:eastAsia="ＭＳ 明朝" w:cs=""/>
                <w:b w:val="false"/>
                <w:kern w:val="0"/>
                <w:sz w:val="17"/>
                <w:szCs w:val="22"/>
                <w:lang w:val="en-US" w:eastAsia="en-US" w:bidi="ar-SA"/>
              </w:rPr>
              <w:t>Oui - document rempli à partir du modèle fourni et relisible rapidement.</w:t>
            </w:r>
          </w:p>
        </w:tc>
      </w:tr>
    </w:tbl>
    <w:p>
      <w:pPr>
        <w:pStyle w:val="Normal"/>
        <w:rPr/>
      </w:pPr>
      <w:r>
        <w:rPr/>
      </w:r>
      <w:r>
        <w:br w:type="page"/>
      </w:r>
    </w:p>
    <w:p>
      <w:pPr>
        <w:pStyle w:val="Heading1"/>
        <w:rPr/>
      </w:pPr>
      <w:bookmarkStart w:id="12" w:name="__RefHeading___Toc11861_1316170329"/>
      <w:bookmarkEnd w:id="12"/>
      <w:r>
        <w:rPr>
          <w:color w:val="1E1B4B"/>
        </w:rPr>
        <w:t xml:space="preserve">📚 </w:t>
      </w:r>
      <w:r>
        <w:rPr>
          <w:color w:val="1E1B4B"/>
        </w:rPr>
        <w:t>Références et conventions</w:t>
      </w:r>
    </w:p>
    <w:p>
      <w:pPr>
        <w:pStyle w:val="Heading2"/>
        <w:rPr/>
      </w:pPr>
      <w:bookmarkStart w:id="13" w:name="__RefHeading___Toc11863_1316170329"/>
      <w:bookmarkEnd w:id="13"/>
      <w:r>
        <w:rPr>
          <w:color w:val="1E1B4B"/>
        </w:rPr>
        <w:t>Références incontournables</w:t>
      </w:r>
    </w:p>
    <w:p>
      <w:pPr>
        <w:pStyle w:val="Normal"/>
        <w:rPr/>
      </w:pPr>
      <w:r>
        <w:rPr>
          <w:b/>
        </w:rPr>
        <w:t xml:space="preserve">• </w:t>
      </w:r>
      <w:r>
        <w:rPr>
          <w:b/>
        </w:rPr>
        <w:t xml:space="preserve">Cours Agile/Scrum (Mohamed EL AFRIT) : </w:t>
      </w:r>
      <w:r>
        <w:rPr/>
        <w:t>mohamedelafrit.com/teaching/Master_Classe_Agile/cours.html</w:t>
      </w:r>
    </w:p>
    <w:p>
      <w:pPr>
        <w:pStyle w:val="Normal"/>
        <w:rPr/>
      </w:pPr>
      <w:r>
        <w:rPr>
          <w:b/>
        </w:rPr>
        <w:t xml:space="preserve">• </w:t>
      </w:r>
      <w:r>
        <w:rPr>
          <w:b/>
        </w:rPr>
        <w:t xml:space="preserve">Scrum Guide officiel FR : </w:t>
      </w:r>
      <w:r>
        <w:rPr/>
        <w:t>scrumguides.org/docs/scrumguide/v2020/2020-Scrum-Guide-French.pdf</w:t>
      </w:r>
    </w:p>
    <w:p>
      <w:pPr>
        <w:pStyle w:val="Normal"/>
        <w:rPr/>
      </w:pPr>
      <w:r>
        <w:rPr>
          <w:b/>
        </w:rPr>
        <w:t xml:space="preserve">• </w:t>
      </w:r>
      <w:r>
        <w:rPr>
          <w:b/>
        </w:rPr>
        <w:t xml:space="preserve">Site APOCAL'IPSSI : </w:t>
      </w:r>
      <w:r>
        <w:rPr/>
        <w:t>mohamedelafrit.com/teaching/APOCALIPSSI</w:t>
      </w:r>
    </w:p>
    <w:p>
      <w:pPr>
        <w:pStyle w:val="Heading2"/>
        <w:rPr/>
      </w:pPr>
      <w:bookmarkStart w:id="14" w:name="__RefHeading___Toc11865_1316170329"/>
      <w:bookmarkEnd w:id="14"/>
      <w:r>
        <w:rPr>
          <w:color w:val="1E1B4B"/>
        </w:rPr>
        <w:t>Références spécifiques à ce document</w:t>
      </w:r>
    </w:p>
    <w:p>
      <w:pPr>
        <w:pStyle w:val="Normal"/>
        <w:rPr/>
      </w:pPr>
      <w:r>
        <w:rPr>
          <w:b/>
        </w:rPr>
        <w:t xml:space="preserve">• </w:t>
      </w:r>
      <w:r>
        <w:rPr>
          <w:b/>
        </w:rPr>
        <w:t xml:space="preserve">Méthode MoSCoW, DSDM Consortium (origine 1994) : </w:t>
      </w:r>
      <w:r>
        <w:rPr/>
        <w:t>https://www.agilebusiness.org/dsdm-project-framework/moscow-prioritisation.html</w:t>
      </w:r>
    </w:p>
    <w:p>
      <w:pPr>
        <w:pStyle w:val="Normal"/>
        <w:rPr/>
      </w:pPr>
      <w:r>
        <w:rPr>
          <w:b/>
        </w:rPr>
        <w:t xml:space="preserve">• </w:t>
      </w:r>
      <w:r>
        <w:rPr>
          <w:b/>
        </w:rPr>
        <w:t xml:space="preserve">Wikipédia, MoSCoW method : </w:t>
      </w:r>
      <w:r>
        <w:rPr/>
        <w:t>https://fr.wikipedia.org/wiki/M%C3%A9thode_MoSCoW</w:t>
      </w:r>
    </w:p>
    <w:p>
      <w:pPr>
        <w:pStyle w:val="Normal"/>
        <w:rPr/>
      </w:pPr>
      <w:r>
        <w:rPr>
          <w:b/>
        </w:rPr>
        <w:t xml:space="preserve">• </w:t>
      </w:r>
      <w:r>
        <w:rPr>
          <w:b/>
        </w:rPr>
        <w:t xml:space="preserve">Roman Pichler, Effort vs Value Prioritization : </w:t>
      </w:r>
      <w:r>
        <w:rPr/>
        <w:t>https://www.romanpichler.com/blog/agile-product-roadmaps/</w:t>
      </w:r>
    </w:p>
    <w:p>
      <w:pPr>
        <w:pStyle w:val="Normal"/>
        <w:rPr/>
      </w:pPr>
      <w:r>
        <w:rPr>
          <w:b/>
        </w:rPr>
        <w:t xml:space="preserve">• </w:t>
      </w:r>
      <w:r>
        <w:rPr>
          <w:b/>
        </w:rPr>
        <w:t xml:space="preserve">APOCAL'IPSSI, Perturbation J1 (Mme Lefèvre) : </w:t>
      </w:r>
      <w:r>
        <w:rPr/>
        <w:t>https://mohamedelafrit.com/teaching/APOCALIPSSI/pages/perturbations/j1-produit.php</w:t>
      </w:r>
    </w:p>
    <w:p>
      <w:pPr>
        <w:pStyle w:val="Heading2"/>
        <w:rPr/>
      </w:pPr>
      <w:bookmarkStart w:id="15" w:name="__RefHeading___Toc11867_1316170329"/>
      <w:bookmarkEnd w:id="15"/>
      <w:r>
        <w:rPr>
          <w:color w:val="1E1B4B"/>
        </w:rPr>
        <w:t>Convention de versionnement</w:t>
      </w:r>
    </w:p>
    <w:p>
      <w:pPr>
        <w:pStyle w:val="ListBullet"/>
        <w:numPr>
          <w:ilvl w:val="0"/>
          <w:numId w:val="1"/>
        </w:numPr>
        <w:rPr/>
      </w:pPr>
      <w:r>
        <w:rPr/>
        <w:t xml:space="preserve">• </w:t>
      </w:r>
      <w:r>
        <w:rPr/>
        <w:t>v1.0, version initiale produite lors du cadrage matinal</w:t>
      </w:r>
    </w:p>
    <w:p>
      <w:pPr>
        <w:pStyle w:val="ListBullet"/>
        <w:numPr>
          <w:ilvl w:val="0"/>
          <w:numId w:val="1"/>
        </w:numPr>
        <w:rPr/>
      </w:pPr>
      <w:r>
        <w:rPr/>
        <w:t xml:space="preserve">• </w:t>
      </w:r>
      <w:r>
        <w:rPr/>
        <w:t>v1.1, v1.2, révisions mineures (typo, ajout d'item) après revue PO</w:t>
      </w:r>
    </w:p>
    <w:p>
      <w:pPr>
        <w:pStyle w:val="ListBullet"/>
        <w:numPr>
          <w:ilvl w:val="0"/>
          <w:numId w:val="1"/>
        </w:numPr>
        <w:rPr/>
      </w:pPr>
      <w:r>
        <w:rPr/>
        <w:t xml:space="preserve">• </w:t>
      </w:r>
      <w:r>
        <w:rPr/>
        <w:t>v2.0, révision majeure suite à une perturbation (changement de scope)</w:t>
      </w:r>
    </w:p>
    <w:p>
      <w:pPr>
        <w:pStyle w:val="ListBullet"/>
        <w:numPr>
          <w:ilvl w:val="0"/>
          <w:numId w:val="1"/>
        </w:numPr>
        <w:rPr/>
      </w:pPr>
      <w:r>
        <w:rPr/>
        <w:t xml:space="preserve">• </w:t>
      </w:r>
      <w:r>
        <w:rPr/>
        <w:t>Chaque version est commitée séparément avec message Git explicite</w:t>
      </w:r>
    </w:p>
    <w:p>
      <w:pPr>
        <w:pStyle w:val="ListBullet"/>
        <w:numPr>
          <w:ilvl w:val="0"/>
          <w:numId w:val="1"/>
        </w:numPr>
        <w:spacing w:before="0" w:after="200"/>
        <w:contextualSpacing/>
        <w:rPr/>
      </w:pPr>
      <w:r>
        <w:rPr/>
        <w:t xml:space="preserve">• </w:t>
      </w:r>
      <w:r>
        <w:rPr/>
        <w:t>Le statut « Validé PO » nécessite une trace écrite (commentaire, mail, Teams)</w:t>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475569"/>
        <w:sz w:val="16"/>
      </w:rPr>
      <w:t>Mohamed Amine EL AFRIT · APOCAL'IPSSI 2026 · CC BY-NC-SA 4.0</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IndexLink">
    <w:name w:val="Index Link"/>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Contents1">
    <w:name w:val="TOC 1"/>
    <w:basedOn w:val="Index"/>
    <w:pPr>
      <w:tabs>
        <w:tab w:val="clear" w:pos="720"/>
        <w:tab w:val="right" w:pos="8640" w:leader="dot"/>
      </w:tabs>
      <w:ind w:left="0" w:hanging="0"/>
    </w:pPr>
    <w:rPr/>
  </w:style>
  <w:style w:type="paragraph" w:styleId="Contents2">
    <w:name w:val="TOC 2"/>
    <w:basedOn w:val="Index"/>
    <w:pPr>
      <w:tabs>
        <w:tab w:val="clear" w:pos="720"/>
        <w:tab w:val="right" w:pos="8357" w:leader="dot"/>
      </w:tabs>
      <w:ind w:left="283" w:hanging="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Application>LibreOffice/7.3.7.2$Linux_X86_64 LibreOffice_project/30$Build-2</Application>
  <AppVersion>15.0000</AppVersion>
  <Pages>11</Pages>
  <Words>1846</Words>
  <Characters>9887</Characters>
  <CharactersWithSpaces>11559</CharactersWithSpaces>
  <Paragraphs>205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2026-06-30T14:50:33Z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