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4748B"/>
          <w:sz w:val="20"/>
          <w:szCs w:val="20"/>
        </w:rPr>
        <w:t xml:space="preserve">APOCAL'IPSSI · EduTutor IA</w:t>
      </w:r>
    </w:p>
    <w:p>
      <w:pPr>
        <w:spacing w:after="200"/>
        <w:jc w:val="center"/>
      </w:pPr>
      <w:r>
        <w:rPr>
          <w:b/>
          <w:bCs/>
          <w:color w:val="1E1B4B"/>
          <w:sz w:val="34"/>
          <w:szCs w:val="34"/>
        </w:rPr>
        <w:t xml:space="preserve">ADR-003 · Migration vers une architecture scalable</w:t>
      </w:r>
    </w:p>
    <w:p>
      <w:pPr>
        <w:spacing w:after="300"/>
        <w:jc w:val="center"/>
      </w:pPr>
      <w:r>
        <w:rPr>
          <w:i/>
          <w:iCs/>
          <w:color w:val="475569"/>
          <w:sz w:val="20"/>
          <w:szCs w:val="20"/>
        </w:rPr>
        <w:t xml:space="preserve">Bonus technique — Perturbation J4 (succès national)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Numéro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ADR-003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Titre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vers une architecture scalable (cache + file d'attente asynchrone) pour absorber un pic de trafic national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Proposé (décision d'architecture ; mise en œuvre au-delà de la journée J4)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Jeudi 02/07/2026 (perturbation J4)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Auteurs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Équipe d'Architecture EduTutor IA — Équipe 29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Supersedes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Aucun (étend le périmètre infra au-delà d'ADR-001/ADR-002, qui portaient sur le choix du modèle LLM)</w:t>
            </w:r>
          </w:p>
        </w:tc>
      </w:tr>
    </w:tbl>
    <w:p>
      <w:pPr>
        <w:pStyle w:val="Heading1"/>
      </w:pPr>
      <w:r>
        <w:t xml:space="preserve">1. Contexte</w:t>
      </w:r>
    </w:p>
    <w:p>
      <w:pPr>
        <w:spacing w:after="160"/>
      </w:pPr>
      <w:r>
        <w:t xml:space="preserve">Après un passage télévisé, EduTutor IA a connu un afflux massif et soudain d'élèves partout en France ; les serveurs ont failli tomber le soir même. L'État envisage de faire d'EduTutor la plateforme de référence pour les lycées, et une levée de fonds vient de financer le passage à l'échelle. L'architecture actuelle est un monolithe Django/DRF avec une base PostgreSQL unique et un seul backend Ollama local exécuté sur une machine de référence : aucun cache, aucune file d'attente, aucune redondance horizontale.</w:t>
      </w:r>
    </w:p>
    <w:p>
      <w:pPr>
        <w:spacing w:after="160"/>
      </w:pPr>
      <w:r>
        <w:t xml:space="preserve">La génération de quiz (appel LLM) est l'opération la plus coûteuse en temps CPU du système ; elle bloque actuellement le cycle requête/réponse HTTP, ce qui rend le service très sensible à la charge simultanée. Un pic nationalement synchronisé (des millions d'élèves se connectant au même moment pour réviser) sature immédiatement ce goulot d'étranglement.</w:t>
      </w:r>
    </w:p>
    <w:p>
      <w:pPr>
        <w:spacing w:after="160"/>
      </w:pPr>
      <w:r>
        <w:t xml:space="preserve">Contraintes du projet : stack imposée (Django/DRF/PostgreSQL/React/Docker Compose), conformité RGPD et souveraineté des données déjà actées comme différenciateur produit (cf. perturbation J3-bis — pas de bascule vers un LLM cloud US par défaut), délai très court (décision attendue avant jeudi 17h), budget désormais disponible grâce à la levée de fonds.</w:t>
      </w:r>
    </w:p>
    <w:p>
      <w:pPr>
        <w:pStyle w:val="Heading1"/>
      </w:pPr>
      <w:r>
        <w:t xml:space="preserve">2. Options envisagées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Avantages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Inconvénients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Coût / risque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A. Statu quo : scaling vertical (serveur plus puissant)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Rapide à mettre en œuvre, aucune refonte de code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Plafond physique rapidement atteint ; ne résout pas la contention CPU du LLM local (goulot d'étranglement identifié le soir du pic) ; reste un point de défaillance unique (SPOF)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Effort faible / risque élevé : ne traite pas la cause racine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B. Cache (Redis) + file d'attente asynchrone (Celery) + autoscaling horizontal des workers applicatifs, Ollama conservé en local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Découple la génération LLM (lente) du cycle requête/réponse HTTP ; absorbe les pics de trafic ; scalable horizontalement ; conserve la souveraineté des données (RGPD, cf. J3-bis)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Complexité d'exploitation accrue (nouveaux composants à monitorer) ; nécessite des tests de charge avant bascule ; migration de Docker Compose vers une orchestration multi-instances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Effort moyen (budget désormais disponible) / risque modéré, maîtrisable par un plan de rollback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C. Bascule vers un LLM cloud managé, élastique par nature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Scaling de la génération LLM trivial, géré par le fournisseur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Contredit le positionnement local-first / souveraineté des données, différenciateur produit face à la concurrence ; risque juridique RGPD (cf. perturbation J3-bis) ; coût variable élevé à grande échelle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Effort faible / risque élevé sur le plan produit et conformité — écartée</w:t>
            </w:r>
          </w:p>
        </w:tc>
      </w:tr>
    </w:tbl>
    <w:p>
      <w:pPr>
        <w:pStyle w:val="Heading1"/>
      </w:pPr>
      <w:r>
        <w:t xml:space="preserve">3. Décision retenue</w:t>
      </w:r>
    </w:p>
    <w:p>
      <w:pPr>
        <w:spacing w:after="160"/>
      </w:pPr>
      <w:r>
        <w:rPr>
          <w:b/>
          <w:bCs/>
        </w:rPr>
        <w:t xml:space="preserve">Décision : Option B — introduire un cache applicatif (Redis) et une file d'attente asynchrone (Celery + Redis) pour découpler la génération LLM du cycle requête/réponse, et préparer l'autoscaling horizontal des workers applicatifs, tout en conservant Ollama en local.</w:t>
      </w:r>
    </w:p>
    <w:p>
      <w:pPr>
        <w:pStyle w:val="Heading2"/>
      </w:pPr>
      <w:r>
        <w:t xml:space="preserve">3.1. Justification</w:t>
      </w:r>
    </w:p>
    <w:p>
      <w:pPr>
        <w:spacing w:after="160"/>
      </w:pPr>
      <w:r>
        <w:t xml:space="preserve">C'est la seule option qui traite la cause racine identifiée (contention CPU du LLM dans le cycle de requête synchrone) sans sacrifier le positionnement local-first / souverain qui différencie EduTutor de ses concurrents cloud (Wilgo, Quizlet AI, Khanmigo). L'effort est proportionné au budget désormais disponible suite à la levée de fonds, et l'architecture cible (cache + file d'attente + workers horizontaux) est un patron standard, bien documenté, pour ce type de goulot d'étranglement.</w:t>
      </w:r>
    </w:p>
    <w:p>
      <w:pPr>
        <w:pStyle w:val="Heading2"/>
      </w:pPr>
      <w:r>
        <w:t xml:space="preserve">3.2. Mesures de mitigation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de charge avant toute bascule en production, simulant un pic de trafic national (cf. US-30 du Product Backlog v1.5).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de sauvegarde de la base de données et procédure de rollback documentée et testée avant la migration (cf. US-32).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Déploiement progressif (canary) : une fraction du trafic d'abord, montée en charge surveillée.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Fournisseur LLM de secours pour éviter un nouveau point de défaillance unique pendant la transition (cf. US-31).</w:t>
      </w:r>
    </w:p>
    <w:p>
      <w:pPr>
        <w:pStyle w:val="Heading1"/>
      </w:pPr>
      <w:r>
        <w:t xml:space="preserve">4. Conséquences</w:t>
      </w:r>
    </w:p>
    <w:p>
      <w:pPr>
        <w:pStyle w:val="Heading2"/>
      </w:pPr>
      <w:r>
        <w:t xml:space="preserve">4.1. Conséquences positives (attendues)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Capacité à absorber un pic de trafic national sans interruption de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Meilleure expérience utilisateur : réponse HTTP immédiate avec statut « génération en cours » au lieu d'un risque de timeout.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Résilience accrue : plus de SPOF unique sur le worker Ollama, base pour un futur fournisseur LLM de secours (US-31).</w:t>
      </w:r>
    </w:p>
    <w:p>
      <w:pPr>
        <w:pStyle w:val="Heading2"/>
      </w:pPr>
      <w:r>
        <w:t xml:space="preserve">4.2. Conséquences négatives (coûts assumés)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Complexité opérationnelle accrue : nouveaux composants (Redis, workers Celery) à monitorer et faire évoluer.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Coût d'infrastructure additionnel (instances Redis, potentiellement plusieurs instances Ollama).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Délai de mise en œuvre : la migration complète dépasse le temps disponible le jour de la perturbation J4 ; elle nécessite un sprint dédié post-MVP.</w:t>
      </w:r>
    </w:p>
    <w:p>
      <w:pPr>
        <w:pStyle w:val="Heading1"/>
      </w:pPr>
      <w:r>
        <w:t xml:space="preserve">5. À surveiller post-décision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 à surveiller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Seuil cible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Seuil d'alerte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 si dépassement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Disponibilité du service pendant un pic de trafic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99.5 %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99 % sur 1h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Activer le plan de rollback, revenir à la config stable précédente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de mise en file d'attente d'une génération de quiz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15 s pendant 10 min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Ajouter des workers Celery, vérifier la saturation Ollama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Taux d'échec de génération (timeout / erreur)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2 %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5 % sur 1h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Bascule sur le fournisseur LLM de secours (US-31)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Coût infra mensuel (Redis + instances additionnelles)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 validé Direction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dépassement &gt; 20 %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Revue de dimensionnement avec la Direction</w:t>
            </w:r>
          </w:p>
        </w:tc>
      </w:tr>
    </w:tbl>
    <w:p>
      <w:pPr>
        <w:spacing w:before="200"/>
      </w:pPr>
      <w:r>
        <w:rPr>
          <w:i/>
          <w:iCs/>
        </w:rPr>
        <w:t xml:space="preserve">Date de revue planifiée : 2 à 3 semaines après la mise en œuvre initiale du cache et de la file d'attente, avec la Direction et l'équipe technique.</w:t>
      </w:r>
    </w:p>
    <w:p>
      <w:pPr>
        <w:pStyle w:val="Heading1"/>
      </w:pPr>
      <w:r>
        <w:t xml:space="preserve">6. Traçabilité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Items de backlog liés : US-30 [scale] Test de charge + cache + autoscaling (MUST, 13 SP), US-31 [risk] Fournisseur LLM de secours (SHOULD, 5 SP), US-32 [risk] Plan de sauvegarde &amp; rollback (MUST, 3 SP) — cf. equipe-29-product-backlog-v1.5.xlsx.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Risques liés : R1 (surcharge serveurs, score 9) et R6 (perte/fuite de données en migration, score 3) — cf. equipe-29-analyse-risques-v1.0.xlsx.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Cet ADR est le bonus technique de la perturbation J4 (option « ADR de migration scalable » parmi les 4 axes proposés).</w:t>
      </w:r>
    </w:p>
    <w:sectPr>
      <w:pgSz w:w="11906" w:h="16838" w:orient="portrait"/>
      <w:pgMar w:top="1000" w:right="1274" w:bottom="1000" w:left="127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1B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2026-07-02T09:30:11.536Z</dcterms:created>
  <dcterms:modified xsi:type="dcterms:W3CDTF">2026-07-02T09:30:11.536Z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