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29618"/>
            <wp:docPr id="1" name="Picture 1" descr="Logotipo de Controlia Cobranz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i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Segoe UI" w:hAnsi="Segoe UI"/>
          <w:b/>
          <w:color w:val="1D4ED8"/>
          <w:sz w:val="24"/>
        </w:rPr>
        <w:t>MANUAL DE USUARIO</w:t>
      </w:r>
    </w:p>
    <w:p>
      <w:pPr>
        <w:spacing w:after="160"/>
        <w:jc w:val="center"/>
      </w:pPr>
      <w:r>
        <w:rPr>
          <w:rFonts w:ascii="Segoe UI" w:hAnsi="Segoe UI"/>
          <w:b/>
          <w:color w:val="0F172A"/>
          <w:sz w:val="62"/>
        </w:rPr>
        <w:t>Controlia Cobranzas</w:t>
      </w:r>
    </w:p>
    <w:p>
      <w:pPr>
        <w:jc w:val="center"/>
      </w:pPr>
      <w:r>
        <w:rPr>
          <w:rFonts w:ascii="Segoe UI" w:hAnsi="Segoe UI"/>
          <w:color w:val="475569"/>
          <w:sz w:val="28"/>
        </w:rPr>
        <w:t>Guía completa para usuarios no técnicos</w:t>
      </w:r>
    </w:p>
    <w:p>
      <w:pPr>
        <w:spacing w:before="680"/>
        <w:jc w:val="center"/>
      </w:pPr>
      <w:r>
        <w:rPr>
          <w:rFonts w:ascii="Segoe UI" w:hAnsi="Segoe UI"/>
          <w:color w:val="64748B"/>
          <w:sz w:val="20"/>
        </w:rPr>
        <w:t>Gestión de carteras · deudores · cobranzas · comunicaciones · conciliación</w:t>
      </w:r>
    </w:p>
    <w:p>
      <w:pPr>
        <w:spacing w:before="1440"/>
        <w:jc w:val="center"/>
      </w:pPr>
      <w:r>
        <w:rPr>
          <w:rFonts w:ascii="Segoe UI" w:hAnsi="Segoe UI"/>
          <w:b/>
          <w:color w:val="1D4ED8"/>
          <w:sz w:val="20"/>
        </w:rPr>
        <w:t>Versión del manual: 1.1  |  Agosto de 2026  |  Aplicación 2.1.0</w:t>
      </w:r>
    </w:p>
    <w:p>
      <w:pPr>
        <w:jc w:val="center"/>
      </w:pPr>
      <w:r>
        <w:rPr>
          <w:rFonts w:ascii="Segoe UI" w:hAnsi="Segoe UI"/>
          <w:color w:val="64748B"/>
          <w:sz w:val="19"/>
        </w:rPr>
        <w:t>Documento de entrega de la aplicación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USO PREVISTO  </w:t>
            </w:r>
            <w:r>
              <w:rPr>
                <w:rFonts w:ascii="Segoe UI" w:hAnsi="Segoe UI"/>
                <w:color w:val="0F172A"/>
                <w:sz w:val="19"/>
              </w:rPr>
              <w:t>Este manual explica el uso cotidiano de la aplicación. No requiere conocimientos técnicos ni acceso al código fuente.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Contenido y ruta de aprendizaje</w:t>
      </w:r>
    </w:p>
    <w:p>
      <w:r>
        <w:t>Puede leer el manual completo o comenzar por el capítulo correspondiente a su rol. Los nombres de botones y pestañas aparecen tal como se muestran en la aplicación.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700"/>
        <w:gridCol w:w="5760"/>
      </w:tblGrid>
      <w:tr>
        <w:trPr>
          <w:tblHeader w:val="true"/>
        </w:trPr>
        <w:tc>
          <w:tcPr>
            <w:tcW w:type="dxa" w:w="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27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57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Qué encontrará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Conocer la aplicación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Propósito, conceptos, interfaz, seguridad, acceso y trabajo sin conexión.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2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Roles y permisos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Qué puede ver y hacer cada perfil.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3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Dashboard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Indicadores, prioridades y filtros de trabajo.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4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Conciliación de Nóminas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Comparación mensual y reporte Excel.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5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Búsqueda de Deudores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Carga, consulta, filtros y tareas.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6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Ficha del deudor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Gestiones, pagos, datos, correo y WhatsApp.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7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Envíos Programados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SMTP, plantillas, segmentación y envío masivo.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8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Administración de carteras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Asignaciones, reemplazos y limpiezas.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9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Usuarios y recuperación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Altas, roles, estados y contraseñas.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10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Procedimientos por rol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Rutinas recomendadas y controles.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11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Solución de problemas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Mensajes frecuentes y acciones seguras.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12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Glosario y anexos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Conceptos, formatos y lista de verificación.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CFDF5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59669"/>
                <w:sz w:val="19"/>
              </w:rPr>
              <w:t xml:space="preserve">CONSEJO  </w:t>
            </w:r>
            <w:r>
              <w:rPr>
                <w:rFonts w:ascii="Segoe UI" w:hAnsi="Segoe UI"/>
                <w:color w:val="0F172A"/>
                <w:sz w:val="19"/>
              </w:rPr>
              <w:t>Si es la primera vez que usa Controlia Cobranzas, revise primero los capítulos 1 y 2 y luego vaya al procedimiento de su rol en el capítulo 10.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Conocer la aplicación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Qué resuelve Controlia Cobranzas y cómo orientarse en pantalla</w:t>
      </w:r>
    </w:p>
    <w:p>
      <w:pPr>
        <w:pStyle w:val="Heading2"/>
      </w:pPr>
      <w:r>
        <w:t>1.1 ¿Para qué sirve Controlia Cobranzas?</w:t>
      </w:r>
    </w:p>
    <w:p>
      <w:r>
        <w:t>Controlia Cobranzas centraliza el trabajo operativo de cobranza en una sola aplicación de escritorio. Permite controlar carteras por compañía, consultar deudores, registrar gestiones y pagos, preparar comunicaciones, comparar nóminas mensuales y observar indicadores de productividad.</w:t>
      </w:r>
    </w:p>
    <w:p>
      <w:pPr>
        <w:pStyle w:val="ListBullet"/>
        <w:spacing w:after="60"/>
        <w:ind w:left="403" w:hanging="230"/>
      </w:pPr>
      <w:r>
        <w:t>Evita trabajar con información dispersa en múltiples planillas.</w:t>
      </w:r>
    </w:p>
    <w:p>
      <w:pPr>
        <w:pStyle w:val="ListBullet"/>
        <w:spacing w:after="60"/>
        <w:ind w:left="403" w:hanging="230"/>
      </w:pPr>
      <w:r>
        <w:t>Mantiene trazabilidad de gestiones, pagos, asignaciones y sesiones.</w:t>
      </w:r>
    </w:p>
    <w:p>
      <w:pPr>
        <w:pStyle w:val="ListBullet"/>
        <w:spacing w:after="60"/>
        <w:ind w:left="403" w:hanging="230"/>
      </w:pPr>
      <w:r>
        <w:t>Restringe información y acciones según el rol y la cartera asignada.</w:t>
      </w:r>
    </w:p>
    <w:p>
      <w:pPr>
        <w:pStyle w:val="ListBullet"/>
        <w:spacing w:after="60"/>
        <w:ind w:left="403" w:hanging="230"/>
      </w:pPr>
      <w:r>
        <w:t>Genera reportes Excel para conciliación, gestiones y actividad.</w:t>
      </w:r>
    </w:p>
    <w:p>
      <w:pPr>
        <w:pStyle w:val="Heading2"/>
      </w:pPr>
      <w:r>
        <w:t>1.2 Conceptos básicos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7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Explicación sencilla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Cartera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Conjunto de deudores asociado a una compañía, por ejemplo Colmena, Consalud, Cruz Blanca o Cart-56.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Deudor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Persona o registro cuya deuda y datos de contacto se gestionan en la aplicación.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Expediente / licencia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Detalle individual que compone la deuda de un deudor. Un deudor puede tener más de uno.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Gestión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Contacto o acción registrada: email, llamada, carta, WhatsApp, pago u otra.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Estado deudor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Situación vigente calculada desde la gestión más reciente: Sin Gestión, Gestionado, Contactado, Inubicable, etc.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Conciliación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Comparación entre la nómina del mes anterior y la del mes actual para detectar altas, bajas, coincidencias y duplicados.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Plantilla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reutilizable de correo con variables que se completan automáticamente.</w:t>
            </w:r>
          </w:p>
        </w:tc>
      </w:tr>
    </w:tbl>
    <w:p>
      <w:pPr>
        <w:spacing w:after="20"/>
      </w:pPr>
    </w:p>
    <w:p>
      <w:pPr>
        <w:pStyle w:val="Heading2"/>
      </w:pPr>
      <w:r>
        <w:t>1.3 Estructura de la ventana principal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Zona</w:t>
            </w:r>
          </w:p>
        </w:tc>
        <w:tc>
          <w:tcPr>
            <w:tcW w:type="dxa" w:w="7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Barra superior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Muestra el usuario y rol, el estado de sincronización, acceso a Notificaciones, Recuperaciones cuando corresponde y Cerrar sesión.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Pestañas principales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Permiten cambiar de módulo. Las pestañas visibles dependen del rol.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Área central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Contiene tarjetas, filtros, tablas, formularios y resultados del módulo seleccionado.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Menú legal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Permite volver a consultar Términos y Condiciones y Política de Privacidad.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IMPORTANTE  </w:t>
            </w:r>
            <w:r>
              <w:rPr>
                <w:rFonts w:ascii="Segoe UI" w:hAnsi="Segoe UI"/>
                <w:color w:val="0F172A"/>
                <w:sz w:val="19"/>
              </w:rPr>
              <w:t>Si una función descrita no aparece en su pantalla, normalmente se debe a los permisos de su rol o a que la cartera no está asignada a su usuario.</w:t>
            </w:r>
          </w:p>
        </w:tc>
      </w:tr>
    </w:tbl>
    <w:p>
      <w:pPr>
        <w:spacing w:after="0"/>
      </w:pPr>
    </w:p>
    <w:p>
      <w:pPr>
        <w:pStyle w:val="Heading2"/>
      </w:pPr>
      <w:r>
        <w:t>1.4 Inicio de sesión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Abra Controlia Cobranzas. </w:t>
      </w:r>
      <w:r>
        <w:t>Espere a que aparezca la ventana de acceso.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Ingrese su correo. </w:t>
      </w:r>
      <w:r>
        <w:t>Use el correo asociado a su cuenta. Puede conservarlo en el equipo si la opción de recordarlo está disponible.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Ingrese su contraseña. </w:t>
      </w:r>
      <w:r>
        <w:t>Respete mayúsculas, minúsculas y caracteres especiales.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Iniciar sesión. </w:t>
      </w:r>
      <w:r>
        <w:t>La aplicación validará la cuenta y abrirá los módulos autorizados.</w:t>
      </w:r>
    </w:p>
    <w:p>
      <w:pPr>
        <w:pStyle w:val="Heading3"/>
      </w:pPr>
      <w:r>
        <w:t>Primer ingreso con contraseña temporal</w:t>
      </w:r>
    </w:p>
    <w:p>
      <w:r>
        <w:t>Cuando un administrador crea o restablece una cuenta, entrega una contraseña temporal. En el primer ingreso la aplicación obliga a crear una contraseña personal antes de continuar.</w:t>
      </w:r>
    </w:p>
    <w:p>
      <w:pPr>
        <w:pStyle w:val="ListBullet"/>
        <w:spacing w:after="60"/>
        <w:ind w:left="403" w:hanging="230"/>
      </w:pPr>
      <w:r>
        <w:t>No comparta la contraseña temporal ni la definitiva.</w:t>
      </w:r>
    </w:p>
    <w:p>
      <w:pPr>
        <w:pStyle w:val="ListBullet"/>
        <w:spacing w:after="60"/>
        <w:ind w:left="403" w:hanging="230"/>
      </w:pPr>
      <w:r>
        <w:t>Use una contraseña distinta de la que emplea en servicios personales.</w:t>
      </w:r>
    </w:p>
    <w:p>
      <w:pPr>
        <w:pStyle w:val="ListBullet"/>
        <w:spacing w:after="60"/>
        <w:ind w:left="403" w:hanging="230"/>
      </w:pPr>
      <w:r>
        <w:t>Si el sistema informa que la cuenta está inactiva, contacte al administrador.</w:t>
      </w:r>
    </w:p>
    <w:p>
      <w:pPr>
        <w:pStyle w:val="Heading2"/>
      </w:pPr>
      <w:r>
        <w:t>1.5 Aceptación de documentos legales</w:t>
      </w:r>
    </w:p>
    <w:p>
      <w:r>
        <w:t>Cuando existe una versión nueva de los Términos y Condiciones o de la Política de Privacidad, se abre una ventana obligatoria. Lea ambas pestañas y pulse Aceptar y continuar. Si elige Salir, la aplicación se cerrará sin habilitar el trabajo.</w:t>
      </w:r>
    </w:p>
    <w:p>
      <w:pPr>
        <w:pStyle w:val="Heading2"/>
      </w:pPr>
      <w:r>
        <w:t>1.6 Cierre seguro</w:t>
      </w:r>
    </w:p>
    <w:p>
      <w:r>
        <w:t>Para terminar, pulse Cerrar sesión en la barra superior. Esto registra el término de la sesión y vuelve a la pantalla de acceso. Evite dejar la aplicación abierta en un equipo compartido.</w:t>
      </w:r>
    </w:p>
    <w:p>
      <w:pPr>
        <w:pStyle w:val="Heading2"/>
      </w:pPr>
      <w:r>
        <w:t>1.7 Si se corta la conexión</w:t>
      </w:r>
    </w:p>
    <w:p>
      <w:r>
        <w:t>La aplicación necesita conexión con el servidor para trabajar. Si Internet se cae o el servidor deja de responder mientras usted registra una gestión manual, el trabajo no se pierde: queda guardado en el equipo y se envía solo cuando el servicio vuelve.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Lo que verá</w:t>
            </w:r>
          </w:p>
        </w:tc>
        <w:tc>
          <w:tcPr>
            <w:tcW w:type="dxa" w:w="35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Qué significa</w:t>
            </w:r>
          </w:p>
        </w:tc>
        <w:tc>
          <w:tcPr>
            <w:tcW w:type="dxa" w:w="3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Qué hacer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Mensaje Gestión guardada sin conexión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La gestión quedó en este equipo, todavía no llegó al servidor.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Continúe trabajando con normalidad. No la registre de nuevo.</w:t>
            </w:r>
          </w:p>
        </w:tc>
      </w:tr>
      <w:tr>
        <w:trPr>
          <w:cantSplit/>
        </w:trPr>
        <w:tc>
          <w:tcPr>
            <w:tcW w:type="dxa" w:w="2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Aviso N por sincronizar</w:t>
            </w:r>
          </w:p>
        </w:tc>
        <w:tc>
          <w:tcPr>
            <w:tcW w:type="dxa" w:w="3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Hay gestiones esperando que vuelva la conexión.</w:t>
            </w:r>
          </w:p>
        </w:tc>
        <w:tc>
          <w:tcPr>
            <w:tcW w:type="dxa" w:w="3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Nada. El número baja solo a medida que se envían.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Aviso N sin enviar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 servidor rechazó una gestión y no se reintentará sola.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Informe al Administrador con la fecha y el RUT antes de volver a registrarla.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NO DUPLIQUE EL REGISTRO  </w:t>
            </w:r>
            <w:r>
              <w:rPr>
                <w:rFonts w:ascii="Segoe UI" w:hAnsi="Segoe UI"/>
                <w:color w:val="0F172A"/>
                <w:sz w:val="19"/>
              </w:rPr>
              <w:t>Una gestión guardada sin conexión ya está registrada. Volver a ingresarla genera dos gestiones para el mismo contacto y distorsiona los indicadores de la cartera.</w:t>
            </w:r>
          </w:p>
        </w:tc>
      </w:tr>
    </w:tbl>
    <w:p>
      <w:pPr>
        <w:spacing w:after="0"/>
      </w:pPr>
    </w:p>
    <w:p>
      <w:r>
        <w:t>Mientras no hay conexión, la consulta de deudores y el envío de correos no están disponibles, porque esa información vive en el servidor. Vuelven a funcionar en cuanto se restablece el servicio.</w:t>
      </w:r>
    </w:p>
    <w:p>
      <w:r>
        <w:br w:type="page"/>
      </w:r>
    </w:p>
    <w:p>
      <w:pPr>
        <w:pStyle w:val="Heading1"/>
      </w:pPr>
      <w:r>
        <w:t>2. Roles y permisos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Acceso efectivo según Administrador, Supervisor o Ejecutivo</w:t>
      </w:r>
    </w:p>
    <w:p>
      <w:pPr>
        <w:pStyle w:val="Heading2"/>
      </w:pPr>
      <w:r>
        <w:t>2.1 Matriz de acceso a módulos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60"/>
        <w:gridCol w:w="1900"/>
        <w:gridCol w:w="1900"/>
        <w:gridCol w:w="1900"/>
      </w:tblGrid>
      <w:tr>
        <w:trPr>
          <w:tblHeader w:val="true"/>
        </w:trPr>
        <w:tc>
          <w:tcPr>
            <w:tcW w:type="dxa" w:w="36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Módulo / función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Administrador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Supervisor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Ejecutivo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Dashboard: Mi trabajo y Vista general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Conciliación de Nóminas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Búsqueda de Deudores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Consulta todas; opera solo las asignadas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Cargar base de deudores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Cargar / exportar gestiones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Envíos: Configuración SMTP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Envíos: Plantillas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 masivo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visible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visible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Administración de carteras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Gestión de usuarios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Recuperaciones pendientes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Sí, según ámbito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</w:tbl>
    <w:p>
      <w:pPr>
        <w:spacing w:after="20"/>
      </w:pPr>
    </w:p>
    <w:p>
      <w:pPr>
        <w:pStyle w:val="Heading2"/>
      </w:pPr>
      <w:r>
        <w:t>2.2 Administrador</w:t>
      </w:r>
    </w:p>
    <w:p>
      <w:r>
        <w:t>Es el perfil de mayor alcance. Administra usuarios, puede asignar carteras, ejecutar acciones de limpieza, cargar información y consultar los módulos de control. Debe usar con especial cuidado las funciones que eliminan datos.</w:t>
      </w:r>
    </w:p>
    <w:p>
      <w:pPr>
        <w:pStyle w:val="Heading2"/>
      </w:pPr>
      <w:r>
        <w:t>2.3 Supervisor</w:t>
      </w:r>
    </w:p>
    <w:p>
      <w:r>
        <w:t>Coordina la operación. Puede conciliar nóminas, cargar bases y gestiones, asignar o reemplazar responsables de cartera, utilizar el envío masivo y consultar productividad. No puede administrar usuarios.</w:t>
      </w:r>
    </w:p>
    <w:p>
      <w:pPr>
        <w:pStyle w:val="Heading2"/>
      </w:pPr>
      <w:r>
        <w:t>2.4 Ejecutivo</w:t>
      </w:r>
    </w:p>
    <w:p>
      <w:r>
        <w:t>Trabaja la cobranza diaria. Puede consultar la ficha de cualquier deudor, incluso de una cartera que no tenga asignada, para atender una llamada y derivar el caso. En cambio, las acciones operativas -registrar gestión o pago- quedan limitadas a sus carteras asignadas y a los reemplazos temporales vigentes. No puede cargar bases ni usar módulos administrativos.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SEGURIDAD POR CARTERA  </w:t>
            </w:r>
            <w:r>
              <w:rPr>
                <w:rFonts w:ascii="Segoe UI" w:hAnsi="Segoe UI"/>
                <w:color w:val="0F172A"/>
                <w:sz w:val="19"/>
              </w:rPr>
              <w:t>Una ejecutiva sin cartera asignada verá el mensaje Sin carteras asignadas. Un supervisor o administrador debe realizar la asignación; cerrar sesión y volver a ingresar ayuda a actualizar el alcance.</w:t>
            </w:r>
          </w:p>
        </w:tc>
      </w:tr>
    </w:tbl>
    <w:p>
      <w:pPr>
        <w:spacing w:after="0"/>
      </w:pPr>
    </w:p>
    <w:p>
      <w:pPr>
        <w:pStyle w:val="Heading2"/>
      </w:pPr>
      <w:r>
        <w:t>2.5 Acciones sensibles</w:t>
      </w:r>
    </w:p>
    <w:p>
      <w:pPr>
        <w:pStyle w:val="ListBullet"/>
        <w:spacing w:after="60"/>
        <w:ind w:left="403" w:hanging="230"/>
      </w:pPr>
      <w:r>
        <w:t>Eliminar deudor: borra el registro y sus gestiones asociadas.</w:t>
      </w:r>
    </w:p>
    <w:p>
      <w:pPr>
        <w:pStyle w:val="ListBullet"/>
        <w:spacing w:after="60"/>
        <w:ind w:left="403" w:hanging="230"/>
      </w:pPr>
      <w:r>
        <w:t>Limpiar una empresa o todas las cargas: elimina datos importados, no solo la vista.</w:t>
      </w:r>
    </w:p>
    <w:p>
      <w:pPr>
        <w:pStyle w:val="ListBullet"/>
        <w:spacing w:after="60"/>
        <w:ind w:left="403" w:hanging="230"/>
      </w:pPr>
      <w:r>
        <w:t>Limpiar gestiones: elimina el historial de gestiones del sistema.</w:t>
      </w:r>
    </w:p>
    <w:p>
      <w:pPr>
        <w:pStyle w:val="ListBullet"/>
        <w:spacing w:after="60"/>
        <w:ind w:left="403" w:hanging="230"/>
      </w:pPr>
      <w:r>
        <w:t>Reiniciar datos de prueba: limpia cargas, gestiones y asignaciones.</w:t>
      </w:r>
    </w:p>
    <w:p>
      <w:pPr>
        <w:pStyle w:val="ListBullet"/>
        <w:spacing w:after="60"/>
        <w:ind w:left="403" w:hanging="230"/>
      </w:pPr>
      <w:r>
        <w:t>Revertir pagos confirmados: está reservado al Supervisor.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REGLA DE CONTROL  </w:t>
            </w:r>
            <w:r>
              <w:rPr>
                <w:rFonts w:ascii="Segoe UI" w:hAnsi="Segoe UI"/>
                <w:color w:val="0F172A"/>
                <w:sz w:val="19"/>
              </w:rPr>
              <w:t>Antes de confirmar una eliminación, verifique compañía, RUT y alcance. La confirmación de pantalla es la última barrera antes de ejecutar la acción.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Dashboard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Lectura de la cartera, prioridades y productividad</w:t>
      </w:r>
    </w:p>
    <w:p>
      <w:pPr>
        <w:pStyle w:val="Heading2"/>
      </w:pPr>
      <w:r>
        <w:t>3.1 Cambiar entre Mi trabajo y Vista general</w:t>
      </w:r>
    </w:p>
    <w:p>
      <w:r>
        <w:t>En la parte superior del Dashboard se encuentran dos modos. Mi trabajo prioriza la gestión diaria; Vista general muestra la lectura consolidada. El perfil Ejecutivo abre por defecto Mi trabajo y los perfiles de coordinación abren Vista general.</w:t>
      </w:r>
    </w:p>
    <w:p>
      <w:pPr>
        <w:pStyle w:val="Heading2"/>
      </w:pPr>
      <w:r>
        <w:t>3.2 Mi trabajo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7110"/>
      </w:tblGrid>
      <w:tr>
        <w:trPr>
          <w:tblHeader w:val="true"/>
        </w:trPr>
        <w:tc>
          <w:tcPr>
            <w:tcW w:type="dxa" w:w="22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1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Qué indica / cómo usarlo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Salud operativa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 automático del estado de la cartera visible.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Foco del día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Recomendación de atención inmediata basada en datos disponibles.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Alertas críticas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Acceso rápido a casos que requieren prioridad.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Oportunidades de contacto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Casos con canales de contacto disponibles.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Colas inteligentes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Agrupaciones de trabajo calculadas para orientar la jornada.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Filtros de trabajo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Búsqueda libre, compañía, estado, antigüedad, saldo y disponibilidad de contacto.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Cola priorizada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Lista ordenada de casos; muestra RUT, estado, motivo de prioridad, saldo y antigüedad.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Embudo de cartera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Distribución de deudores por estado.</w:t>
            </w:r>
          </w:p>
        </w:tc>
      </w:tr>
    </w:tbl>
    <w:p>
      <w:pPr>
        <w:spacing w:after="20"/>
      </w:pPr>
    </w:p>
    <w:p>
      <w:pPr>
        <w:pStyle w:val="Heading3"/>
      </w:pPr>
      <w:r>
        <w:t>Filtros de antigüedad</w:t>
      </w:r>
    </w:p>
    <w:p>
      <w:pPr>
        <w:pStyle w:val="ListBullet"/>
        <w:spacing w:after="60"/>
        <w:ind w:left="403" w:hanging="230"/>
      </w:pPr>
      <w:r>
        <w:t>Nunca gestionados; 0 a 6 días; 7 a 13 días; 14 a 29 días; 30 días o más.</w:t>
      </w:r>
    </w:p>
    <w:p>
      <w:pPr>
        <w:pStyle w:val="Heading3"/>
      </w:pPr>
      <w:r>
        <w:t>Filtros de saldo</w:t>
      </w:r>
    </w:p>
    <w:p>
      <w:pPr>
        <w:pStyle w:val="ListBullet"/>
        <w:spacing w:after="60"/>
        <w:ind w:left="403" w:hanging="230"/>
      </w:pPr>
      <w:r>
        <w:t>Menos de $500.000; entre $500.000 y $2.000.000; más de $2.000.000.</w:t>
      </w:r>
    </w:p>
    <w:p>
      <w:pPr>
        <w:pStyle w:val="Heading3"/>
      </w:pPr>
      <w:r>
        <w:t>Filtros de contacto</w:t>
      </w:r>
    </w:p>
    <w:p>
      <w:pPr>
        <w:pStyle w:val="ListBullet"/>
        <w:spacing w:after="60"/>
        <w:ind w:left="403" w:hanging="230"/>
      </w:pPr>
      <w:r>
        <w:t>Algún canal disponible; teléfono y email; sin datos de contacto.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Defina los filtros. </w:t>
      </w:r>
      <w:r>
        <w:t>Seleccione los criterios que representen el objetivo del día.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Revise la cola. </w:t>
      </w:r>
      <w:r>
        <w:t>Comience por los casos con mayor prioridad y saldo relevante.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Abra el caso. </w:t>
      </w:r>
      <w:r>
        <w:t>Use la acción disponible para acceder al detalle del deudor.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Registre el resultado. </w:t>
      </w:r>
      <w:r>
        <w:t>Toda llamada, mensaje, pago o acuerdo debe quedar como gestión.</w:t>
      </w:r>
    </w:p>
    <w:p>
      <w:pPr>
        <w:pStyle w:val="Heading2"/>
      </w:pPr>
      <w:r>
        <w:t>3.3 Vista general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7110"/>
      </w:tblGrid>
      <w:tr>
        <w:trPr>
          <w:tblHeader w:val="true"/>
        </w:trPr>
        <w:tc>
          <w:tcPr>
            <w:tcW w:type="dxa" w:w="22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71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Interpretación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Cartera total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Cantidad de deudores visibles en el período.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Saldo actual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Suma de saldos pendientes.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Cobertura de gestión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Proporción de la cartera que registra gestiones.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Gestiones hoy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Acciones registradas durante la fecha actual.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Conexiones hoy / del mes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Actividad de acceso al sistema.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Ejecutivas activas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Usuarios ejecutivos únicos con actividad.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Duración promedio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Tiempo medio de sesiones cerradas calculables.</w:t>
            </w:r>
          </w:p>
        </w:tc>
      </w:tr>
    </w:tbl>
    <w:p>
      <w:pPr>
        <w:spacing w:after="20"/>
      </w:pPr>
    </w:p>
    <w:p>
      <w:r>
        <w:t>Seleccione el período disponible y pulse Actualizar para recalcular los indicadores. El Supervisor puede usar Descargar Excel mensual para obtener el reporte de conexiones de ejecutivas.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LECTURA RESPONSABLE  </w:t>
            </w:r>
            <w:r>
              <w:rPr>
                <w:rFonts w:ascii="Segoe UI" w:hAnsi="Segoe UI"/>
                <w:color w:val="0F172A"/>
                <w:sz w:val="19"/>
              </w:rPr>
              <w:t>Los indicadores reflejan la información cargada y visible para la sesión. Si una cartera, gestión o asignación aún no está disponible, el Dashboard puede mostrar valores parciales o el mensaje Sin datos.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Conciliación de Nóminas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Comparar el mes anterior con el mes actual y generar un reporte</w:t>
      </w:r>
    </w:p>
    <w:p>
      <w:pPr>
        <w:pStyle w:val="Heading2"/>
      </w:pPr>
      <w:r>
        <w:t>4.1 Objetivo</w:t>
      </w:r>
    </w:p>
    <w:p>
      <w:r>
        <w:t>Este módulo compara dos archivos Excel de una misma compañía. Construye un identificador con las dos primeras columnas de la hoja DETALLE —normalmente RUT y DV— y clasifica los registros que aparecen solo en un mes, en ambos o duplicados.</w:t>
      </w:r>
    </w:p>
    <w:p>
      <w:pPr>
        <w:pStyle w:val="Heading2"/>
      </w:pPr>
      <w:r>
        <w:t>4.2 Requisitos de los archivos</w:t>
      </w:r>
    </w:p>
    <w:p>
      <w:pPr>
        <w:pStyle w:val="ListBullet"/>
        <w:spacing w:after="60"/>
        <w:ind w:left="403" w:hanging="230"/>
      </w:pPr>
      <w:r>
        <w:t>Formato .xlsx y hoja llamada DETALLE.</w:t>
      </w:r>
    </w:p>
    <w:p>
      <w:pPr>
        <w:pStyle w:val="ListBullet"/>
        <w:spacing w:after="60"/>
        <w:ind w:left="403" w:hanging="230"/>
      </w:pPr>
      <w:r>
        <w:t>La hoja no debe estar vacía y debe contener al menos dos columnas.</w:t>
      </w:r>
    </w:p>
    <w:p>
      <w:pPr>
        <w:pStyle w:val="ListBullet"/>
        <w:spacing w:after="60"/>
        <w:ind w:left="403" w:hanging="230"/>
      </w:pPr>
      <w:r>
        <w:t>Los dos archivos deben pertenecer a la misma compañía y usar una estructura comparable.</w:t>
      </w:r>
    </w:p>
    <w:p>
      <w:pPr>
        <w:pStyle w:val="ListBullet"/>
        <w:spacing w:after="60"/>
        <w:ind w:left="403" w:hanging="230"/>
      </w:pPr>
      <w:r>
        <w:t>Cierre el archivo de salida en Excel antes de generar o reemplazar el reporte.</w:t>
      </w:r>
    </w:p>
    <w:p>
      <w:pPr>
        <w:pStyle w:val="Heading2"/>
      </w:pPr>
      <w:r>
        <w:t>4.3 Procedimiento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compañía. </w:t>
      </w:r>
      <w:r>
        <w:t>Elija Colmena, Consalud, Cruz Blanca o Cart-56.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Mes Anterior. </w:t>
      </w:r>
      <w:r>
        <w:t>Busque el archivo de origen correspondiente al período anterior.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Mes Actual. </w:t>
      </w:r>
      <w:r>
        <w:t>Busque la nómina vigente.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Defina Guardar como. </w:t>
      </w:r>
      <w:r>
        <w:t>Elija una carpeta y un nombre para resultado_conciliacion.xlsx o el nombre que prefiera.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Revise las opciones. </w:t>
      </w:r>
      <w:r>
        <w:t>Active la exportación de coincidencias solo si necesita las pestañas En ambos.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Ejecutar conciliación. </w:t>
      </w:r>
      <w:r>
        <w:t>Observe el progreso y no cierre la aplicación durante el proceso.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Abra el reporte. </w:t>
      </w:r>
      <w:r>
        <w:t>Confirme que el estado indique conciliación finalizada y revise la ruta mostrada.</w:t>
      </w:r>
    </w:p>
    <w:p>
      <w:pPr>
        <w:pStyle w:val="Heading2"/>
      </w:pPr>
      <w:r>
        <w:t>4.4 Contenido del reporte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Hoja</w:t>
            </w:r>
          </w:p>
        </w:tc>
        <w:tc>
          <w:tcPr>
            <w:tcW w:type="dxa" w:w="68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Filas, IDs únicos, altas, bajas, coincidencias y duplicados de ambos meses.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Solo_en_Anterior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Registros que estaban antes y no aparecen en el mes actual: bajas potenciales.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Solo_en_Actual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Registros nuevos del mes actual: altas potenciales.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Duplicados_Anterior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 cuyo identificador está repetido en el mes anterior.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Duplicados_Actual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 cuyo identificador está repetido en el mes actual.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En_ambos_Anterior / Actual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Coincidencias, solo cuando se activó la opción correspondiente.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CONTROL PREVIO  </w:t>
            </w:r>
            <w:r>
              <w:rPr>
                <w:rFonts w:ascii="Segoe UI" w:hAnsi="Segoe UI"/>
                <w:color w:val="0F172A"/>
                <w:sz w:val="19"/>
              </w:rPr>
              <w:t>Una conciliación identifica diferencias; no modifica las bases de deudores. Revise duplicados antes de interpretar altas o bajas como definitivas.</w:t>
            </w:r>
          </w:p>
        </w:tc>
      </w:tr>
    </w:tbl>
    <w:p>
      <w:pPr>
        <w:spacing w:after="0"/>
      </w:pPr>
    </w:p>
    <w:p>
      <w:pPr>
        <w:pStyle w:val="Heading2"/>
      </w:pPr>
      <w:r>
        <w:t>4.5 Nueva conciliación</w:t>
      </w:r>
    </w:p>
    <w:p>
      <w:r>
        <w:t>Pulse Nueva conciliación para limpiar rutas, resultados y estado del proceso. Esto no borra reportes ya guardados en el equipo.</w:t>
      </w:r>
    </w:p>
    <w:p>
      <w:r>
        <w:br w:type="page"/>
      </w:r>
    </w:p>
    <w:p>
      <w:pPr>
        <w:pStyle w:val="Heading1"/>
      </w:pPr>
      <w:r>
        <w:t>5. Búsqueda de Deudores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Carga, consulta, filtros, gestiones importadas y tareas</w:t>
      </w:r>
    </w:p>
    <w:p>
      <w:pPr>
        <w:pStyle w:val="Heading2"/>
      </w:pPr>
      <w:r>
        <w:t>5.1 Finalidad del módulo</w:t>
      </w:r>
    </w:p>
    <w:p>
      <w:r>
        <w:t>Es el centro de consulta operativa. Muestra la base de deudores, permite buscar por texto o columna, filtrar por compañía y abrir la ficha detallada. Los administradores y supervisores también pueden cargar bases y gestiones y exportar información.</w:t>
      </w:r>
    </w:p>
    <w:p>
      <w:pPr>
        <w:pStyle w:val="Heading2"/>
      </w:pPr>
      <w:r>
        <w:t>5.2 Cargar una base de deudores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compañía. </w:t>
      </w:r>
      <w:r>
        <w:t>La compañía elegida determina la estructura esperada y el destino de la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Pulse Seleccionar. </w:t>
      </w:r>
      <w:r>
        <w:t>Busque el archivo Excel .xlsx.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Cargar base. </w:t>
      </w:r>
      <w:r>
        <w:t>La aplicación leerá, validará y preparará los datos.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Asocie columnas si se solicita. </w:t>
      </w:r>
      <w:r>
        <w:t>En la ventana Asociar columnas del archivo Excel, vincule cada campo requerido con la columna correcta y continúe con la vista previa.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Revise la vista previa. </w:t>
      </w:r>
      <w:r>
        <w:t>Confirme compañía, cantidad y datos principales antes de aceptar la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Espere el resultado. </w:t>
      </w:r>
      <w:r>
        <w:t>La tabla y el Dashboard se actualizarán cuando finalice.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DUPLICADOS  </w:t>
            </w:r>
            <w:r>
              <w:rPr>
                <w:rFonts w:ascii="Segoe UI" w:hAnsi="Segoe UI"/>
                <w:color w:val="0F172A"/>
                <w:sz w:val="19"/>
              </w:rPr>
              <w:t>La aplicación puede bloquear una base ya cargada aunque el archivo tenga otro nombre, si detecta el mismo contenido. Revise el período y evite insistir con copias idénticas.</w:t>
            </w:r>
          </w:p>
        </w:tc>
      </w:tr>
    </w:tbl>
    <w:p>
      <w:pPr>
        <w:spacing w:after="0"/>
      </w:pPr>
    </w:p>
    <w:p>
      <w:pPr>
        <w:pStyle w:val="Heading2"/>
      </w:pPr>
      <w:r>
        <w:t>5.3 Buscar y filtrar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73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Buscar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Escriba RUT, nombre u otro valor visible. Los resultados cambian mientras escribe.</w:t>
            </w:r>
          </w:p>
        </w:tc>
      </w:tr>
      <w:tr>
        <w:trPr>
          <w:cantSplit/>
        </w:trPr>
        <w:tc>
          <w:tcPr>
            <w:tcW w:type="dxa" w:w="2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Compañía</w:t>
            </w:r>
          </w:p>
        </w:tc>
        <w:tc>
          <w:tcPr>
            <w:tcW w:type="dxa" w:w="7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Muestra Todas o una compañía específica. El Ejecutivo puede consultar cualquier cartera, pero solo gestiona las asignadas.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Columna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Limita la búsqueda a una columna; Todas las columnas busca de forma global.</w:t>
            </w:r>
          </w:p>
        </w:tc>
      </w:tr>
      <w:tr>
        <w:trPr>
          <w:cantSplit/>
        </w:trPr>
        <w:tc>
          <w:tcPr>
            <w:tcW w:type="dxa" w:w="2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X / limpiar</w:t>
            </w:r>
          </w:p>
        </w:tc>
        <w:tc>
          <w:tcPr>
            <w:tcW w:type="dxa" w:w="7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Borra el texto de búsqueda y vuelve al conjunto filtrado por compañía.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Tabla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Haga doble clic o use la acción disponible para abrir el detalle del deudor.</w:t>
            </w:r>
          </w:p>
        </w:tc>
      </w:tr>
    </w:tbl>
    <w:p>
      <w:pPr>
        <w:spacing w:after="20"/>
      </w:pPr>
    </w:p>
    <w:p>
      <w:pPr>
        <w:pStyle w:val="Heading2"/>
      </w:pPr>
      <w:r>
        <w:t>5.4 Cargar gestiones desde Excel</w:t>
      </w:r>
    </w:p>
    <w:p>
      <w:r>
        <w:t>La carga de gestiones admite un libro con hojas SMS, Email y Carta. Cada fila utiliza RUT, nombre, estado, fecha y observación. Los registros idénticos ya existentes se omiten para evitar duplicación.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Descargue la plantilla. </w:t>
      </w:r>
      <w:r>
        <w:t>Use Descargar plantilla para trabajar con la estructura correcta.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Complete las hojas aplicables. </w:t>
      </w:r>
      <w:r>
        <w:t>No cambie los encabezados. Deje las hojas sin uso vacías si corresponde.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el archivo. </w:t>
      </w:r>
      <w:r>
        <w:t>Pulse Seleccionar en la tarjeta de carga de gestiones.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Cargar gestiones. </w:t>
      </w:r>
      <w:r>
        <w:t>Revise el resumen de insertados, omitidos y errores.</w:t>
      </w:r>
    </w:p>
    <w:p>
      <w:pPr>
        <w:pStyle w:val="Heading2"/>
      </w:pPr>
      <w:r>
        <w:t>5.5 Descargar gestiones</w:t>
      </w:r>
    </w:p>
    <w:p>
      <w:r>
        <w:t>Defina Desde y Hasta y pulse Descargar Excel. El rango permite acotar la salida; use un rango amplio cuando necesite una exportación completa.</w:t>
      </w:r>
    </w:p>
    <w:p>
      <w:pPr>
        <w:pStyle w:val="Heading2"/>
      </w:pPr>
      <w:r>
        <w:t>5.6 Mis tareas — perfil Ejecutivo</w:t>
      </w:r>
    </w:p>
    <w:p>
      <w:r>
        <w:t>La tarjeta de tareas muestra Realizada, RUT, Nombre y Plazo. Pulse Actualizar para obtener la lista vigente. Seleccione la tarea completada y pulse Gestión realizada para cerrarla.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TRAZABILIDAD  </w:t>
            </w:r>
            <w:r>
              <w:rPr>
                <w:rFonts w:ascii="Segoe UI" w:hAnsi="Segoe UI"/>
                <w:color w:val="0F172A"/>
                <w:sz w:val="19"/>
              </w:rPr>
              <w:t>Cerrar una tarea no reemplaza el registro de la gestión. Abra el deudor y registre también el contacto, acuerdo o resultado obtenido.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Ficha del deudor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Datos del cliente, deuda, gestiones, pagos y comunicaciones</w:t>
      </w:r>
    </w:p>
    <w:p>
      <w:pPr>
        <w:pStyle w:val="Heading2"/>
      </w:pPr>
      <w:r>
        <w:t>6.1 Qué muestra la ficha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Área</w:t>
            </w:r>
          </w:p>
        </w:tc>
        <w:tc>
          <w:tcPr>
            <w:tcW w:type="dxa" w:w="73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Encabezado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Nombre, RUT y cantidad de expedientes.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Datos del cliente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Correo, teléfonos, dirección, comuna, ciudad y otros campos disponibles.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 financiero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Copago, pagos acumulados y saldo actual.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Detalle de deuda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Expedientes, licencias o conceptos asociados, con montos y fechas.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Gestiones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Historial por tipo, estado, fecha, observación y origen.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Comunicaciones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Plantilla, tipo de envío, vista previa, correo y WhatsApp.</w:t>
            </w:r>
          </w:p>
        </w:tc>
      </w:tr>
    </w:tbl>
    <w:p>
      <w:pPr>
        <w:spacing w:after="20"/>
      </w:pPr>
    </w:p>
    <w:p>
      <w:pPr>
        <w:pStyle w:val="Heading2"/>
      </w:pPr>
      <w:r>
        <w:t>6.2 Editar datos del cliente</w:t>
      </w:r>
    </w:p>
    <w:p>
      <w:r>
        <w:t>Cuando el botón Editar datos del cliente esté habilitado, puede corregir RUT, nombre, correos, teléfonos, dirección, comuna y ciudad. Revise cuidadosamente el correo y teléfono porque se utilizarán para comunicaciones.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Editar datos del cliente. </w:t>
      </w:r>
      <w:r>
        <w:t>Se abrirá un formulario con los valores actuales.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Corrija únicamente lo necesario. </w:t>
      </w:r>
      <w:r>
        <w:t>No elimine datos válidos que no pretende modificar.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Guardar cambios. </w:t>
      </w:r>
      <w:r>
        <w:t>Espere la confirmación antes de cerrar la ficha.</w:t>
      </w:r>
    </w:p>
    <w:p>
      <w:pPr>
        <w:pStyle w:val="Heading2"/>
      </w:pPr>
      <w:r>
        <w:t>6.3 Agregar una gestión manual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Agregar gestión manual. </w:t>
      </w:r>
      <w:r>
        <w:t>Se abrirá el formulario del deudor actual.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Tipo. </w:t>
      </w:r>
      <w:r>
        <w:t>Opciones: SMS, Email, Carta, Manual, Llamada, Visita, WhatsApp, Pago u Otro.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Estado. </w:t>
      </w:r>
      <w:r>
        <w:t>Use el resultado que describa lo ocurrido, por ejemplo Sin Respuesta, Respondido, Acuerdo de pago, Promesa de pago o Cliente Sin deuda.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Defina Fecha. </w:t>
      </w:r>
      <w:r>
        <w:t>Use la fecha real de la acción.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Escriba la observación. </w:t>
      </w:r>
      <w:r>
        <w:t>Registre información útil, objetiva y sin datos personales innecesarios.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Guardar. </w:t>
      </w:r>
      <w:r>
        <w:t>La gestión aparecerá en el historial y podrá actualizar el estado del deudor.</w:t>
      </w:r>
    </w:p>
    <w:p>
      <w:pPr>
        <w:pStyle w:val="Heading3"/>
      </w:pPr>
      <w:r>
        <w:t>Eliminar una gestión</w:t>
      </w:r>
    </w:p>
    <w:p>
      <w:r>
        <w:t>Solo se pueden eliminar gestiones de origen manual. Seleccione la fila y pulse Eliminar manual. Los registros provenientes de Excel o integraciones se conservan. Los pagos confirmados tienen controles adicionales; solo el Supervisor puede revertirlos.</w:t>
      </w:r>
    </w:p>
    <w:p>
      <w:pPr>
        <w:pStyle w:val="Heading2"/>
      </w:pPr>
      <w:r>
        <w:t>6.4 Registrar un pago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Registrar pago. </w:t>
      </w:r>
      <w:r>
        <w:t>Revise el saldo actual mostrado.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expediente o destino. </w:t>
      </w:r>
      <w:r>
        <w:t>Elija a qué expediente, licencia o concepto se aplicará.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el tipo. </w:t>
      </w:r>
      <w:r>
        <w:t>Abono a la deuda o Pago total de la deuda.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Indique distribución. </w:t>
      </w:r>
      <w:r>
        <w:t>Active Distribuir el pago entre varios conceptos si necesita repartir el monto y complete Monto a aplicar por fila.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Ingrese monto y fecha efectiva. </w:t>
      </w:r>
      <w:r>
        <w:t>El monto debe ser positivo y coherente con el saldo.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Añada observaciones. </w:t>
      </w:r>
      <w:r>
        <w:t>Incluya referencia, forma de pago, número de operación o antecedente del comprobante recibido.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Pulse Registrar pago. </w:t>
      </w:r>
      <w:r>
        <w:t>Revise la confirmación y los nuevos valores de Pagos y Saldo Actual.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ANTES DE CONFIRMAR  </w:t>
            </w:r>
            <w:r>
              <w:rPr>
                <w:rFonts w:ascii="Segoe UI" w:hAnsi="Segoe UI"/>
                <w:color w:val="0F172A"/>
                <w:sz w:val="19"/>
              </w:rPr>
              <w:t>Compruebe RUT, compañía, expediente, fecha y monto. Un pago mal asignado afecta saldos y reportes; la reversa está restringida al Supervisor.</w:t>
            </w:r>
          </w:p>
        </w:tc>
      </w:tr>
    </w:tbl>
    <w:p>
      <w:pPr>
        <w:spacing w:after="0"/>
      </w:pPr>
    </w:p>
    <w:p>
      <w:pPr>
        <w:pStyle w:val="Heading2"/>
      </w:pPr>
      <w:r>
        <w:t>6.5 Asignar una tarea</w:t>
      </w:r>
    </w:p>
    <w:p>
      <w:r>
        <w:t>Cuando una cartera no pueda ser gestionada directamente por el usuario, el botón Asignar tarea permite derivarla a la ejecutiva responsable. Seleccione la ejecutiva disponible para esa compañía, defina plazo y escriba una observación clara.</w:t>
      </w:r>
    </w:p>
    <w:p>
      <w:pPr>
        <w:pStyle w:val="Heading2"/>
      </w:pPr>
      <w:r>
        <w:t>6.6 Vista previa y envío de correo individual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plantilla. </w:t>
      </w:r>
      <w:r>
        <w:t>Elija el texto apropiado para el objetivo del contacto.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el tipo de envío. </w:t>
      </w:r>
      <w:r>
        <w:t>Individual usa un trabajador/licencia; Consolidado reúne todas las licencias del deudor.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Revise el destino. </w:t>
      </w:r>
      <w:r>
        <w:t>Si aparece Sin correo disponible, corrija los datos antes de continuar.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Vista previa. </w:t>
      </w:r>
      <w:r>
        <w:t>Revise Para, Asunto, montos, nombre, empresa y detalle de licencias.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Pulse Enviar email. </w:t>
      </w:r>
      <w:r>
        <w:t>Si la sesión SMTP no está activa, la aplicación puede solicitar la contraseña.</w:t>
      </w:r>
    </w:p>
    <w:p>
      <w:r>
        <w:t>El resultado del envío queda registrado como gestión Enviado o Fallido. No repita el envío sin revisar el historial.</w:t>
      </w:r>
    </w:p>
    <w:p>
      <w:pPr>
        <w:pStyle w:val="Heading2"/>
      </w:pPr>
      <w:r>
        <w:t>6.7 Enviar WhatsApp</w:t>
      </w:r>
    </w:p>
    <w:p>
      <w:r>
        <w:t>Verifique el número mostrado en Destino y pulse Enviar WhatsApp. La aplicación abre el canal disponible con el mensaje preparado. Confirme el destinatario antes de enviarlo y registre el resultado de la conversación.</w:t>
      </w:r>
    </w:p>
    <w:p>
      <w:pPr>
        <w:pStyle w:val="Heading2"/>
      </w:pPr>
      <w:r>
        <w:t>6.8 Estados y efecto operativo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800"/>
        <w:gridCol w:w="5560"/>
      </w:tblGrid>
      <w:tr>
        <w:trPr>
          <w:tblHeader w:val="true"/>
        </w:trPr>
        <w:tc>
          <w:tcPr>
            <w:tcW w:type="dxa" w:w="38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Estado de gestión</w:t>
            </w:r>
          </w:p>
        </w:tc>
        <w:tc>
          <w:tcPr>
            <w:tcW w:type="dxa" w:w="55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Estado deudor resultante habitual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Respondido / Contactado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Contactado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 Entregado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Inubicable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Enviado / Entregado / Sin Respuesta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Gestionado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 Con intención de pago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 Con intención de pago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 Sin intención de pago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 Sin intención de pago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Fallecido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Fallecido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Cliente Sin deuda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Cliente Sin deuda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Envíos Programados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Configuración SMTP, plantillas y campañas masivas</w:t>
      </w:r>
    </w:p>
    <w:p>
      <w:pPr>
        <w:pStyle w:val="Heading2"/>
      </w:pPr>
      <w:r>
        <w:t>7.1 Configuración SMTP</w:t>
      </w:r>
    </w:p>
    <w:p>
      <w:r>
        <w:t>SMTP es el servicio utilizado para enviar correos. La aplicación permite escoger un proveedor preconfigurado o completar host, puerto, STARTTLS, usuario, contraseña y nombre del remitente.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1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Qué ingresar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Proveedor / preset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El proveedor de correo utilizado por la organización.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Host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Servidor SMTP entregado por el proveedor.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Puerto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Puerto recomendado por el proveedor, normalmente asociado a STARTTLS.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Usar STARTTLS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Manténgalo activo cuando así lo requiera el proveedor.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Usuario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Cuenta de correo remitente.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Contraseña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Contraseña o clave de aplicación. Se usa en la sesión y no se guarda en disco.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 remitente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 visible para los destinatarios, por ejemplo Controlia Cobranzas.</w:t>
            </w:r>
          </w:p>
        </w:tc>
      </w:tr>
    </w:tbl>
    <w:p>
      <w:pPr>
        <w:spacing w:after="20"/>
      </w:pP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Complete los datos. </w:t>
      </w:r>
      <w:r>
        <w:t>Use la información autorizada por su organización.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Pulse Probar conexión. </w:t>
      </w:r>
      <w:r>
        <w:t>Espere el mensaje de conexión correcta.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Guardar configuración. </w:t>
      </w:r>
      <w:r>
        <w:t>Se guardan los datos no sensibles; la contraseña no se almacena.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PRIVACIDAD  </w:t>
            </w:r>
            <w:r>
              <w:rPr>
                <w:rFonts w:ascii="Segoe UI" w:hAnsi="Segoe UI"/>
                <w:color w:val="0F172A"/>
                <w:sz w:val="19"/>
              </w:rPr>
              <w:t>Nunca escriba contraseñas SMTP en plantillas, observaciones, archivos Excel ni capturas de soporte.</w:t>
            </w:r>
          </w:p>
        </w:tc>
      </w:tr>
    </w:tbl>
    <w:p>
      <w:pPr>
        <w:spacing w:after="0"/>
      </w:pPr>
    </w:p>
    <w:p>
      <w:pPr>
        <w:pStyle w:val="Heading2"/>
      </w:pPr>
      <w:r>
        <w:t>7.2 Plantillas</w:t>
      </w:r>
    </w:p>
    <w:p>
      <w:r>
        <w:t>Las plantillas contienen Nombre, Asunto y Cuerpo. Los botones Nueva plantilla, Eliminar y Guardar plantilla están disponibles para roles autorizados. Una variable entre llaves se reemplaza con datos del deudor al generar el mensaje.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63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Valor que inserta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{nombre}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Nombre del deudor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{rut}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RUT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{saldo}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Saldo pendiente en formato monetario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{copago}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Copago original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{total_pagos}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Pagos acumulados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{empresa}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Compañía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{nro_expediente}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Número de expediente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{No_Licencia}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Número de licencia Cart-56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{detalle_licencias}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Detalle consolidado de licencias o folios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{primera_emision} / {ultima_emision}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Fechas de primera y última emisión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BUENA PRÁCTICA  </w:t>
            </w:r>
            <w:r>
              <w:rPr>
                <w:rFonts w:ascii="Segoe UI" w:hAnsi="Segoe UI"/>
                <w:color w:val="0F172A"/>
                <w:sz w:val="19"/>
              </w:rPr>
              <w:t>Use Vista previa antes de enviar. Si una variable permanece entre llaves, el dato no estaba disponible o el nombre de la variable no es válido.</w:t>
            </w:r>
          </w:p>
        </w:tc>
      </w:tr>
    </w:tbl>
    <w:p>
      <w:pPr>
        <w:spacing w:after="0"/>
      </w:pPr>
    </w:p>
    <w:p>
      <w:pPr>
        <w:pStyle w:val="Heading2"/>
      </w:pPr>
      <w:r>
        <w:t>7.3 Envío masivo — solo Supervisor</w:t>
      </w:r>
    </w:p>
    <w:p>
      <w:pPr>
        <w:pStyle w:val="Heading3"/>
      </w:pPr>
      <w:r>
        <w:t>Preparar el segmento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Elija la compañía. </w:t>
      </w:r>
      <w:r>
        <w:t>Seleccione Todas las compañías o una cartera específica.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Defina calidad de destinatarios. </w:t>
      </w:r>
      <w:r>
        <w:t>Mantenga Solo emails válidos y active Excluir emails ya enviados en esta carga cuando corresponda.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Estado deudor. </w:t>
      </w:r>
      <w:r>
        <w:t>Filtre por la situación que desea trabajar.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Seleccione la métrica de monto. </w:t>
      </w:r>
      <w:r>
        <w:t>Aplique mínimo, máximo o priorización de montos altos.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Use Top montos si corresponde. </w:t>
      </w:r>
      <w:r>
        <w:t>Active la opción e indique cuántos destinatarios de mayor monto incluir.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Cargar destinatarios filtrados. </w:t>
      </w:r>
      <w:r>
        <w:t>Revise el resumen de campaña y la cantidad total.</w:t>
      </w:r>
    </w:p>
    <w:p>
      <w:pPr>
        <w:pStyle w:val="Heading3"/>
      </w:pPr>
      <w:r>
        <w:t>Seleccionar mensaje y ejecutar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Seleccione la plantilla. </w:t>
      </w:r>
      <w:r>
        <w:t>Revise la vista previa del asunto.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8. </w:t>
      </w:r>
      <w:r>
        <w:rPr>
          <w:rFonts w:ascii="Segoe UI" w:hAnsi="Segoe UI"/>
          <w:b/>
          <w:color w:val="0F172A"/>
          <w:sz w:val="20"/>
        </w:rPr>
        <w:t xml:space="preserve">Seleccione modo. </w:t>
      </w:r>
      <w:r>
        <w:t>Individual (actual) o Consolidado (todas las licencias).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9. </w:t>
      </w:r>
      <w:r>
        <w:rPr>
          <w:rFonts w:ascii="Segoe UI" w:hAnsi="Segoe UI"/>
          <w:b/>
          <w:color w:val="0F172A"/>
          <w:sz w:val="20"/>
        </w:rPr>
        <w:t xml:space="preserve">Defina la pausa. </w:t>
      </w:r>
      <w:r>
        <w:t>Una pausa entre envíos reduce bloqueos del proveedor y evita una ráfaga excesiva.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10. </w:t>
      </w:r>
      <w:r>
        <w:rPr>
          <w:rFonts w:ascii="Segoe UI" w:hAnsi="Segoe UI"/>
          <w:b/>
          <w:color w:val="0F172A"/>
          <w:sz w:val="20"/>
        </w:rPr>
        <w:t xml:space="preserve">Pulse Iniciar envío. </w:t>
      </w:r>
      <w:r>
        <w:t>Controle progreso, enviados, no enviados, sin email y pendientes.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11. </w:t>
      </w:r>
      <w:r>
        <w:rPr>
          <w:rFonts w:ascii="Segoe UI" w:hAnsi="Segoe UI"/>
          <w:b/>
          <w:color w:val="0F172A"/>
          <w:sz w:val="20"/>
        </w:rPr>
        <w:t xml:space="preserve">Revise el log. </w:t>
      </w:r>
      <w:r>
        <w:t>Cada destinatario muestra Email, Nombre, Estado y Detalle.</w:t>
      </w:r>
    </w:p>
    <w:p>
      <w:r>
        <w:t>Cancelar envío detiene los pendientes, pero no recupera mensajes que ya fueron enviados. Limpiar log limpia la visualización de la campaña; no borra correos ya despachados ni gestiones registradas.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CONTROL DE CAMPAÑA  </w:t>
            </w:r>
            <w:r>
              <w:rPr>
                <w:rFonts w:ascii="Segoe UI" w:hAnsi="Segoe UI"/>
                <w:color w:val="0F172A"/>
                <w:sz w:val="19"/>
              </w:rPr>
              <w:t>Antes de iniciar, valide segmento, cantidad, plantilla, asunto, modo y cuenta remitente. Haga una prueba controlada cuando cambie una plantilla o configuración SMTP.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Administración de carteras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Asignaciones, reemplazos, limpieza y bitácora</w:t>
      </w:r>
    </w:p>
    <w:p>
      <w:pPr>
        <w:pStyle w:val="Heading2"/>
      </w:pPr>
      <w:r>
        <w:t>8.1 Alcance</w:t>
      </w:r>
    </w:p>
    <w:p>
      <w:r>
        <w:t>Este módulo restringido está disponible para Administrador y Supervisor. Centraliza acciones sensibles sobre cargas, gestiones y responsables de cartera. La bitácora inferior registra las operaciones ejecutadas desde la pantalla con fecha y hora.</w:t>
      </w:r>
    </w:p>
    <w:p>
      <w:pPr>
        <w:pStyle w:val="Heading2"/>
      </w:pPr>
      <w:r>
        <w:t>8.2 Asignar carteras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Ubique la compañía. </w:t>
      </w:r>
      <w:r>
        <w:t>Cada compañía tiene una lista de ejecutivos activos.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responsable. </w:t>
      </w:r>
      <w:r>
        <w:t>Elija el ejecutivo o Sin asignación.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Revise todas las compañías. </w:t>
      </w:r>
      <w:r>
        <w:t>Evite sobrescribir por error una asignación existente.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Guardar asignaciones. </w:t>
      </w:r>
      <w:r>
        <w:t>Espere el mensaje de confirmación.</w:t>
      </w:r>
    </w:p>
    <w:p>
      <w:r>
        <w:t>La asignación controla la información que ve y opera el Ejecutivo. Cuando cambie, solicite al usuario cerrar sesión y volver a ingresar.</w:t>
      </w:r>
    </w:p>
    <w:p>
      <w:pPr>
        <w:pStyle w:val="Heading2"/>
      </w:pPr>
      <w:r>
        <w:t>8.3 Reemplazos temporales</w:t>
      </w:r>
    </w:p>
    <w:p>
      <w:r>
        <w:t>Un reemplazo entrega acceso operativo durante un intervalo definido sin compartir credenciales ni cambiar permanentemente la asignación titular.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cartera. </w:t>
      </w:r>
      <w:r>
        <w:t>Elija la compañía del titular ausente.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reemplazante. </w:t>
      </w:r>
      <w:r>
        <w:t>Debe ser una ejecutiva activa.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Defina inicio y término. </w:t>
      </w:r>
      <w:r>
        <w:t>Use fechas y horas que cubran únicamente el período necesario.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Indique motivo. </w:t>
      </w:r>
      <w:r>
        <w:t>Ejemplo: vacaciones o licencia, sin incorporar información médica sensible.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Pulse Crear reemplazo temporal. </w:t>
      </w:r>
      <w:r>
        <w:t>Revise la nueva fila y su estado Activo.</w:t>
      </w:r>
    </w:p>
    <w:p>
      <w:r>
        <w:t>Para terminar antes de plazo, seleccione la fila activa y pulse Finalizar reemplazo seleccionado. Un reemplazo finalizado no puede finalizarse nuevamente.</w:t>
      </w:r>
    </w:p>
    <w:p>
      <w:pPr>
        <w:pStyle w:val="Heading2"/>
      </w:pPr>
      <w:r>
        <w:t>8.4 Limpieza controlada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400"/>
        <w:gridCol w:w="3660"/>
      </w:tblGrid>
      <w:tr>
        <w:trPr>
          <w:tblHeader w:val="true"/>
        </w:trPr>
        <w:tc>
          <w:tcPr>
            <w:tcW w:type="dxa" w:w="23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4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Efecto</w:t>
            </w:r>
          </w:p>
        </w:tc>
        <w:tc>
          <w:tcPr>
            <w:tcW w:type="dxa" w:w="36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Cuándo usar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Eliminar deudor individual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Borra el deudor de la compañía y sus gestiones asociadas.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Corrección excepcional de un registro identificado por RUT.</w:t>
            </w:r>
          </w:p>
        </w:tc>
      </w:tr>
      <w:tr>
        <w:trPr>
          <w:cantSplit/>
        </w:trPr>
        <w:tc>
          <w:tcPr>
            <w:tcW w:type="dxa" w:w="23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empresa</w:t>
            </w:r>
          </w:p>
        </w:tc>
        <w:tc>
          <w:tcPr>
            <w:tcW w:type="dxa" w:w="3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todos los deudores cargados para una compañía.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Reemplazo total de una carga errónea.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todas las cargas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cargas de deudores de todas las compañías.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Solo con autorización y respaldo.</w:t>
            </w:r>
          </w:p>
        </w:tc>
      </w:tr>
      <w:tr>
        <w:trPr>
          <w:cantSplit/>
        </w:trPr>
        <w:tc>
          <w:tcPr>
            <w:tcW w:type="dxa" w:w="23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gestiones</w:t>
            </w:r>
          </w:p>
        </w:tc>
        <w:tc>
          <w:tcPr>
            <w:tcW w:type="dxa" w:w="3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todo el historial de gestiones.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Uso excepcional y controlado.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Reiniciar datos de prueba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 deudores, gestiones y asignaciones.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Ambientes de prueba; no para operación real.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ACCIÓN IRREVERSIBLE  </w:t>
            </w:r>
            <w:r>
              <w:rPr>
                <w:rFonts w:ascii="Segoe UI" w:hAnsi="Segoe UI"/>
                <w:color w:val="0F172A"/>
                <w:sz w:val="19"/>
              </w:rPr>
              <w:t>La bitácora confirma que una acción se ejecutó, pero no restaura los datos. Antes de limpiar, confirme que existe un respaldo válido y que el alcance fue autorizado.</w:t>
            </w:r>
          </w:p>
        </w:tc>
      </w:tr>
    </w:tbl>
    <w:p>
      <w:pPr>
        <w:spacing w:after="0"/>
      </w:pPr>
    </w:p>
    <w:p>
      <w:pPr>
        <w:pStyle w:val="Heading2"/>
      </w:pPr>
      <w:r>
        <w:t>8.5 Bitácora administrativa</w:t>
      </w:r>
    </w:p>
    <w:p>
      <w:r>
        <w:t>Use la bitácora para comprobar qué acción se ejecutó, cuándo y con qué alcance. Si una operación falla o informa Sin cambios, no la repita sin revisar el mensaje y los datos seleccionados.</w:t>
      </w:r>
    </w:p>
    <w:p>
      <w:r>
        <w:br w:type="page"/>
      </w:r>
    </w:p>
    <w:p>
      <w:pPr>
        <w:pStyle w:val="Heading1"/>
      </w:pPr>
      <w:r>
        <w:t>9. Usuarios, notificaciones y recuperación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Administración del acceso y mensajes operativos</w:t>
      </w:r>
    </w:p>
    <w:p>
      <w:pPr>
        <w:pStyle w:val="Heading2"/>
      </w:pPr>
      <w:r>
        <w:t>9.1 Gestión de usuarios — solo Administrador</w:t>
      </w:r>
    </w:p>
    <w:p>
      <w:r>
        <w:t>La pestaña Usuarios lista cuentas, roles y estados. Permite crear usuarios, modificar su rol, activar o inactivar, restablecer contraseña y eliminar cuando las reglas de seguridad lo permiten.</w:t>
      </w:r>
    </w:p>
    <w:p>
      <w:pPr>
        <w:pStyle w:val="Heading3"/>
      </w:pPr>
      <w:r>
        <w:t>Crear usuario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Nuevo usuario. </w:t>
      </w:r>
      <w:r>
        <w:t>Se abrirá el formulario de alta.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Complete datos. </w:t>
      </w:r>
      <w:r>
        <w:t>Ingrese correo, nombre y la información solicitada con datos institucionales.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rol. </w:t>
      </w:r>
      <w:r>
        <w:t>Administrador, Supervisor o Ejecutivo según responsabilidades reales.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Crear usuario. </w:t>
      </w:r>
      <w:r>
        <w:t>La aplicación generará una contraseña temporal.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Copie la contraseña. </w:t>
      </w:r>
      <w:r>
        <w:t>Use Copiar contraseña y entréguela por un canal seguro. El usuario deberá cambiarla al primer acceso.</w:t>
      </w:r>
    </w:p>
    <w:p>
      <w:pPr>
        <w:pStyle w:val="Heading3"/>
      </w:pPr>
      <w:r>
        <w:t>Cambiar rol o estado</w:t>
      </w:r>
    </w:p>
    <w:p>
      <w:r>
        <w:t>Cambiar el rol modifica los módulos disponibles. Inactivar bloquea el inicio de sesión sin borrar el historial. Use esta opción para ausencias o término de funciones cuando se necesite conservar trazabilidad.</w:t>
      </w:r>
    </w:p>
    <w:p>
      <w:pPr>
        <w:pStyle w:val="Heading3"/>
      </w:pPr>
      <w:r>
        <w:t>Eliminar usuario</w:t>
      </w:r>
    </w:p>
    <w:p>
      <w:r>
        <w:t>La eliminación requiere confirmación. La aplicación impide eliminar el último administrador, para evitar que el sistema quede sin capacidad de administración.</w:t>
      </w:r>
    </w:p>
    <w:p>
      <w:pPr>
        <w:pStyle w:val="Heading2"/>
      </w:pPr>
      <w:r>
        <w:t>9.2 Restablecer contraseña</w:t>
      </w:r>
    </w:p>
    <w:p>
      <w:r>
        <w:t>El administrador puede restablecer una cuenta desde Usuarios. La aplicación muestra una nueva contraseña temporal que debe copiarse y entregarse de forma segura. El usuario creará una contraseña definitiva en el siguiente inicio.</w:t>
      </w:r>
    </w:p>
    <w:p>
      <w:pPr>
        <w:pStyle w:val="Heading2"/>
      </w:pPr>
      <w:r>
        <w:t>9.3 Recuperación asistida desde la pantalla de acceso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¿Olvidaste tu contraseña?. </w:t>
      </w:r>
      <w:r>
        <w:t>Ingrese el correo de la cuenta.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Solicite recuperación. </w:t>
      </w:r>
      <w:r>
        <w:t>La petición será registrada para el rol autorizado.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Espere la atención. </w:t>
      </w:r>
      <w:r>
        <w:t>Un Administrador o Supervisor, según el ámbito mostrado, verá la solicitud en Recuperaciones.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Use la contraseña temporal. </w:t>
      </w:r>
      <w:r>
        <w:t>Al recibirla, ingrese y cree una nueva contraseña personal.</w:t>
      </w:r>
    </w:p>
    <w:p>
      <w:pPr>
        <w:pStyle w:val="Heading2"/>
      </w:pPr>
      <w:r>
        <w:t>9.4 Notificaciones</w:t>
      </w:r>
    </w:p>
    <w:p>
      <w:r>
        <w:t>El botón Notificaciones puede mostrar avisos de derivaciones, tareas, ediciones u otros eventos operativos. Seleccione una notificación y pulse Marcar seleccionada como leída para ordenar la bandeja.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NO COMPARTA CREDENCIALES  </w:t>
            </w:r>
            <w:r>
              <w:rPr>
                <w:rFonts w:ascii="Segoe UI" w:hAnsi="Segoe UI"/>
                <w:color w:val="0F172A"/>
                <w:sz w:val="19"/>
              </w:rPr>
              <w:t>Asignaciones y reemplazos existen precisamente para dar acceso sin compartir contraseñas. Cada persona debe utilizar su propia cuenta.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Procedimientos recomendados por rol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Rutinas de trabajo claras y verificables</w:t>
      </w:r>
    </w:p>
    <w:p>
      <w:pPr>
        <w:pStyle w:val="Heading2"/>
      </w:pPr>
      <w:r>
        <w:t>10.1 Rutina del Ejecutivo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5260"/>
        <w:gridCol w:w="2750"/>
      </w:tblGrid>
      <w:tr>
        <w:trPr>
          <w:tblHeader w:val="true"/>
        </w:trPr>
        <w:tc>
          <w:tcPr>
            <w:tcW w:type="dxa" w:w="13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Momento</w:t>
            </w:r>
          </w:p>
        </w:tc>
        <w:tc>
          <w:tcPr>
            <w:tcW w:type="dxa" w:w="5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Acción recomendada</w:t>
            </w:r>
          </w:p>
        </w:tc>
        <w:tc>
          <w:tcPr>
            <w:tcW w:type="dxa" w:w="27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Control final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Inicio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Abrir Dashboard &gt; Mi trabajo; revisar salud, foco, alertas y tareas.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Confirmar que aparecen las carteras correctas.</w:t>
            </w:r>
          </w:p>
        </w:tc>
      </w:tr>
      <w:tr>
        <w:trPr>
          <w:cantSplit/>
        </w:trPr>
        <w:tc>
          <w:tcPr>
            <w:tcW w:type="dxa" w:w="1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Priorización</w:t>
            </w:r>
          </w:p>
        </w:tc>
        <w:tc>
          <w:tcPr>
            <w:tcW w:type="dxa" w:w="5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Aplicar filtros por antigüedad, saldo y contacto; comenzar por la cola priorizada.</w:t>
            </w:r>
          </w:p>
        </w:tc>
        <w:tc>
          <w:tcPr>
            <w:tcW w:type="dxa" w:w="2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Evitar saltar casos críticos sin dejar motivo.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Gestión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Abrir deudor, verificar identidad y datos de contacto; realizar la acción.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Registrar tipo, estado, fecha y observación.</w:t>
            </w:r>
          </w:p>
        </w:tc>
      </w:tr>
      <w:tr>
        <w:trPr>
          <w:cantSplit/>
        </w:trPr>
        <w:tc>
          <w:tcPr>
            <w:tcW w:type="dxa" w:w="1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Pagos</w:t>
            </w:r>
          </w:p>
        </w:tc>
        <w:tc>
          <w:tcPr>
            <w:tcW w:type="dxa" w:w="5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Registrar monto, fecha y expediente; dejar el respaldo en la observación.</w:t>
            </w:r>
          </w:p>
        </w:tc>
        <w:tc>
          <w:tcPr>
            <w:tcW w:type="dxa" w:w="2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Validar nuevo saldo y pagos acumulados.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Cierre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Cerrar tareas realizadas, revisar pendientes y cerrar sesión.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dejar la aplicación abierta.</w:t>
            </w:r>
          </w:p>
        </w:tc>
      </w:tr>
    </w:tbl>
    <w:p>
      <w:pPr>
        <w:spacing w:after="20"/>
      </w:pPr>
    </w:p>
    <w:p>
      <w:pPr>
        <w:pStyle w:val="Heading2"/>
      </w:pPr>
      <w:r>
        <w:t>10.2 Rutina del Supervisor</w:t>
      </w:r>
    </w:p>
    <w:p>
      <w:pPr>
        <w:pStyle w:val="ListBullet"/>
        <w:spacing w:after="60"/>
        <w:ind w:left="403" w:hanging="230"/>
      </w:pPr>
      <w:r>
        <w:t>Revisar Vista general, conexiones, cobertura y gestiones del día.</w:t>
      </w:r>
    </w:p>
    <w:p>
      <w:pPr>
        <w:pStyle w:val="ListBullet"/>
        <w:spacing w:after="60"/>
        <w:ind w:left="403" w:hanging="230"/>
      </w:pPr>
      <w:r>
        <w:t>Atender recuperaciones, notificaciones y derivaciones pendientes.</w:t>
      </w:r>
    </w:p>
    <w:p>
      <w:pPr>
        <w:pStyle w:val="ListBullet"/>
        <w:spacing w:after="60"/>
        <w:ind w:left="403" w:hanging="230"/>
      </w:pPr>
      <w:r>
        <w:t>Comprobar asignaciones y reemplazos antes de la jornada.</w:t>
      </w:r>
    </w:p>
    <w:p>
      <w:pPr>
        <w:pStyle w:val="ListBullet"/>
        <w:spacing w:after="60"/>
        <w:ind w:left="403" w:hanging="230"/>
      </w:pPr>
      <w:r>
        <w:t>Controlar cargas de deudores y gestiones; revisar duplicados y resultados.</w:t>
      </w:r>
    </w:p>
    <w:p>
      <w:pPr>
        <w:pStyle w:val="ListBullet"/>
        <w:spacing w:after="60"/>
        <w:ind w:left="403" w:hanging="230"/>
      </w:pPr>
      <w:r>
        <w:t>Preparar campañas masivas con prueba previa, segmentación y revisión del log.</w:t>
      </w:r>
    </w:p>
    <w:p>
      <w:pPr>
        <w:pStyle w:val="ListBullet"/>
        <w:spacing w:after="60"/>
        <w:ind w:left="403" w:hanging="230"/>
      </w:pPr>
      <w:r>
        <w:t>Revertir pagos solo con antecedente verificable y autorización interna.</w:t>
      </w:r>
    </w:p>
    <w:p>
      <w:pPr>
        <w:pStyle w:val="Heading2"/>
      </w:pPr>
      <w:r>
        <w:t>10.3 Rutina del Administrador</w:t>
      </w:r>
    </w:p>
    <w:p>
      <w:pPr>
        <w:pStyle w:val="ListBullet"/>
        <w:spacing w:after="60"/>
        <w:ind w:left="403" w:hanging="230"/>
      </w:pPr>
      <w:r>
        <w:t>Gestionar altas, bajas, roles y cuentas inactivas con criterio de mínimo acceso necesario.</w:t>
      </w:r>
    </w:p>
    <w:p>
      <w:pPr>
        <w:pStyle w:val="ListBullet"/>
        <w:spacing w:after="60"/>
        <w:ind w:left="403" w:hanging="230"/>
      </w:pPr>
      <w:r>
        <w:t>Mantener al menos dos administradores operativos cuando la política interna lo permita.</w:t>
      </w:r>
    </w:p>
    <w:p>
      <w:pPr>
        <w:pStyle w:val="ListBullet"/>
        <w:spacing w:after="60"/>
        <w:ind w:left="403" w:hanging="230"/>
      </w:pPr>
      <w:r>
        <w:t>Revisar asignaciones y solicitudes de recuperación.</w:t>
      </w:r>
    </w:p>
    <w:p>
      <w:pPr>
        <w:pStyle w:val="ListBullet"/>
        <w:spacing w:after="60"/>
        <w:ind w:left="403" w:hanging="230"/>
      </w:pPr>
      <w:r>
        <w:t>Autorizar y respaldar antes de cualquier limpieza de datos.</w:t>
      </w:r>
    </w:p>
    <w:p>
      <w:pPr>
        <w:pStyle w:val="ListBullet"/>
        <w:spacing w:after="60"/>
        <w:ind w:left="403" w:hanging="230"/>
      </w:pPr>
      <w:r>
        <w:t>Verificar que las cuentas SMTP y configuraciones correspondan a servicios institucionales.</w:t>
      </w:r>
    </w:p>
    <w:p>
      <w:pPr>
        <w:pStyle w:val="Heading2"/>
      </w:pPr>
      <w:r>
        <w:t>10.4 Flujo mensual sugerido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Respaldar. </w:t>
      </w:r>
      <w:r>
        <w:t>Conservar archivos y respaldos autorizados antes de reemplazar información.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Conciliar. </w:t>
      </w:r>
      <w:r>
        <w:t>Comparar nómina anterior y actual; revisar altas, bajas y duplicados.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Corregir origen. </w:t>
      </w:r>
      <w:r>
        <w:t>Resolver inconsistencias en la planilla fuente, no mediante ediciones improvisadas posteriores.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Cargar cartera. </w:t>
      </w:r>
      <w:r>
        <w:t>Seleccionar compañía, validar vista previa y confirmar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Cargar gestiones. </w:t>
      </w:r>
      <w:r>
        <w:t>Importar el archivo con hojas SMS, Email y Carta y revisar omitidos.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Asignar. </w:t>
      </w:r>
      <w:r>
        <w:t>Confirmar responsables y reemplazos vigentes.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Validar Dashboard. </w:t>
      </w:r>
      <w:r>
        <w:t>Comparar totales, saldos y cobertura con los controles internos.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CFDF5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59669"/>
                <w:sz w:val="19"/>
              </w:rPr>
              <w:t xml:space="preserve">PRINCIPIO OPERATIVO  </w:t>
            </w:r>
            <w:r>
              <w:rPr>
                <w:rFonts w:ascii="Segoe UI" w:hAnsi="Segoe UI"/>
                <w:color w:val="0F172A"/>
                <w:sz w:val="19"/>
              </w:rPr>
              <w:t>Toda acción relevante debe terminar con una comprobación visible: mensaje de éxito, cambio en la tabla, actualización del saldo, archivo exportado o registro en la bitácora.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Solución de problemas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Qué revisar antes de solicitar soporte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Situación</w:t>
            </w:r>
          </w:p>
        </w:tc>
        <w:tc>
          <w:tcPr>
            <w:tcW w:type="dxa" w:w="3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Causa probable</w:t>
            </w:r>
          </w:p>
        </w:tc>
        <w:tc>
          <w:tcPr>
            <w:tcW w:type="dxa" w:w="41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Qué hacer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Usuario o contraseña incorrectos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Credencial errónea o correo distinto.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escritura; si persiste, solicite recuperación asistida.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Cuenta inactiva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La cuenta fue deshabilitada.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Contacte al Administrador; no cree otra cuenta para el mismo usuario.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Sesión expirada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La conexión o token dejó de ser válido.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Cierre sesión, vuelva a ingresar y repita solo la acción no confirmada.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Sin carteras asignadas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Ejecutivo no tiene cartera o reemplazo vigente.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Solicite asignación y vuelva a iniciar sesión.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aparece un módulo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rol no tiene permiso.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la matriz del capítulo 2; pida cambio de rol solo si corresponde.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Excel no contiene DETALLE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Nombre de hoja incorrecto.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Renombre o prepare una copia con la hoja esperada.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Columnas faltantes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Encabezados distintos o campos obligatorios ausentes.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Use Asociar columnas o corrija el archivo de origen.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Base duplicada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contenido ya fue cargado.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Verifique período y no cargue una copia idéntica.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se puede guardar Excel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Archivo abierto, ruta sin permisos o nombre inválido.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Cierre Excel y guarde en una carpeta autorizada.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Sin correo disponible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deudor no tiene email válido.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Edite datos con una fuente autorizada o use otro canal.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Falla SMTP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Host, puerto, STARTTLS, usuario o clave incorrectos.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configuración y pulse Probar conexión; use clave de aplicación si aplica.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Variable visible en el correo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Dato ausente o variable mal escrita.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Corrija la plantilla o complete el dato; vuelva a abrir la vista previa.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Pago no se refleja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se confirmó, fue rechazado o la vista está desactualizada.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mensaje, historial y actualice; no duplique el pago.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Tarea no aparece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está asignada, fue cerrada o la lista no se actualizó.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Pulse Actualizar y revise notificaciones y cartera.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Gestión guardada sin conexión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Se cortó Internet o el servidor no respondió.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trabajo quedó guardado en el equipo. No la registre de nuevo: se enviará sola al volver la conexión.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Aviso N sin enviar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Una gestión en cola fue rechazada por el servidor.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Informe al Administrador antes de volver a registrarla.</w:t>
            </w:r>
          </w:p>
        </w:tc>
      </w:tr>
    </w:tbl>
    <w:p>
      <w:pPr>
        <w:spacing w:after="20"/>
      </w:pPr>
    </w:p>
    <w:p>
      <w:pPr>
        <w:pStyle w:val="Heading2"/>
      </w:pPr>
      <w:r>
        <w:t>11.1 Información útil para soporte</w:t>
      </w:r>
    </w:p>
    <w:p>
      <w:pPr>
        <w:pStyle w:val="ListBullet"/>
        <w:spacing w:after="60"/>
        <w:ind w:left="403" w:hanging="230"/>
      </w:pPr>
      <w:r>
        <w:t>Fecha y hora aproximada del problema.</w:t>
      </w:r>
    </w:p>
    <w:p>
      <w:pPr>
        <w:pStyle w:val="ListBullet"/>
        <w:spacing w:after="60"/>
        <w:ind w:left="403" w:hanging="230"/>
      </w:pPr>
      <w:r>
        <w:t>Rol del usuario y módulo donde ocurrió.</w:t>
      </w:r>
    </w:p>
    <w:p>
      <w:pPr>
        <w:pStyle w:val="ListBullet"/>
        <w:spacing w:after="60"/>
        <w:ind w:left="403" w:hanging="230"/>
      </w:pPr>
      <w:r>
        <w:t>Texto exacto del mensaje mostrado, sin contraseñas ni datos sensibles.</w:t>
      </w:r>
    </w:p>
    <w:p>
      <w:pPr>
        <w:pStyle w:val="ListBullet"/>
        <w:spacing w:after="60"/>
        <w:ind w:left="403" w:hanging="230"/>
      </w:pPr>
      <w:r>
        <w:t>Pasos realizados antes del error.</w:t>
      </w:r>
    </w:p>
    <w:p>
      <w:pPr>
        <w:pStyle w:val="ListBullet"/>
        <w:spacing w:after="60"/>
        <w:ind w:left="403" w:hanging="230"/>
      </w:pPr>
      <w:r>
        <w:t>Compañía y RUT solo por el canal institucional autorizado.</w:t>
      </w:r>
    </w:p>
    <w:p>
      <w:pPr>
        <w:pStyle w:val="ListBullet"/>
        <w:spacing w:after="60"/>
        <w:ind w:left="403" w:hanging="230"/>
      </w:pPr>
      <w:r>
        <w:t>Ruta del archivo de origen y una copia anonimizada si se solicita.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EVITE DUPLICAR ACCIONES  </w:t>
            </w:r>
            <w:r>
              <w:rPr>
                <w:rFonts w:ascii="Segoe UI" w:hAnsi="Segoe UI"/>
                <w:color w:val="0F172A"/>
                <w:sz w:val="19"/>
              </w:rPr>
              <w:t>Si no está seguro de que un pago, envío o carga terminó, revise historial, log, tabla o Dashboard antes de volver a ejecutar.</w:t>
            </w:r>
          </w:p>
        </w:tc>
      </w:tr>
    </w:tbl>
    <w:p>
      <w:pPr>
        <w:spacing w:after="0"/>
      </w:pPr>
    </w:p>
    <w:p>
      <w:pPr>
        <w:pStyle w:val="Heading2"/>
      </w:pPr>
      <w:r>
        <w:t>11.2 Protección de datos</w:t>
      </w:r>
    </w:p>
    <w:p>
      <w:r>
        <w:t>Controlia Cobranzas maneja datos personales, financieros y de contacto. Use únicamente equipos, cuentas y carpetas autorizadas. No copie bases reales a servicios personales, mensajería no autorizada ni soportes externos sin aprobación.</w:t>
      </w:r>
    </w:p>
    <w:p>
      <w:r>
        <w:br w:type="page"/>
      </w:r>
    </w:p>
    <w:p>
      <w:pPr>
        <w:pStyle w:val="Heading1"/>
      </w:pPr>
      <w:r>
        <w:t>12. Glosario y anexos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Referencia rápida para operación y capacitación</w:t>
      </w:r>
    </w:p>
    <w:p>
      <w:pPr>
        <w:pStyle w:val="Heading2"/>
      </w:pPr>
      <w:r>
        <w:t>12.1 Glosario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Término</w:t>
            </w:r>
          </w:p>
        </w:tc>
        <w:tc>
          <w:tcPr>
            <w:tcW w:type="dxa" w:w="7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Alta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ID que aparece en el mes actual y no en el anterior.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Baja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ID que aparece en el mes anterior y no en el actual.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Estado operativo disponible en la gestión y en procesos mensuales específicos.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Clasificación con intención de pago.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Clasificación sin intención de pago.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STARTTLS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Protección de la conexión SMTP durante el envío.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Top montos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Selección de una cantidad limitada de deudores con valores más altos.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Reemplazo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Acceso temporal a una cartera sin cambiar el titular ni compartir credenciales.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Trazabilidad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Capacidad de saber qué se hizo, cuándo, por quién y con qué resultado.</w:t>
            </w:r>
          </w:p>
        </w:tc>
      </w:tr>
    </w:tbl>
    <w:p>
      <w:pPr>
        <w:spacing w:after="20"/>
      </w:pPr>
    </w:p>
    <w:p>
      <w:pPr>
        <w:pStyle w:val="Heading2"/>
      </w:pPr>
      <w:r>
        <w:t>12.2 Lista de verificación antes de una carga</w:t>
      </w:r>
    </w:p>
    <w:p>
      <w:pPr>
        <w:pStyle w:val="ListBullet"/>
        <w:spacing w:after="60"/>
        <w:ind w:left="403" w:hanging="230"/>
      </w:pPr>
      <w:r>
        <w:t>☐ El archivo corresponde a la compañía y período correctos.</w:t>
      </w:r>
    </w:p>
    <w:p>
      <w:pPr>
        <w:pStyle w:val="ListBullet"/>
        <w:spacing w:after="60"/>
        <w:ind w:left="403" w:hanging="230"/>
      </w:pPr>
      <w:r>
        <w:t>☐ La hoja requerida existe y los encabezados son reconocibles.</w:t>
      </w:r>
    </w:p>
    <w:p>
      <w:pPr>
        <w:pStyle w:val="ListBullet"/>
        <w:spacing w:after="60"/>
        <w:ind w:left="403" w:hanging="230"/>
      </w:pPr>
      <w:r>
        <w:t>☐ El archivo no está abierto en Excel.</w:t>
      </w:r>
    </w:p>
    <w:p>
      <w:pPr>
        <w:pStyle w:val="ListBullet"/>
        <w:spacing w:after="60"/>
        <w:ind w:left="403" w:hanging="230"/>
      </w:pPr>
      <w:r>
        <w:t>☐ Existe respaldo del estado anterior cuando la operación lo exige.</w:t>
      </w:r>
    </w:p>
    <w:p>
      <w:pPr>
        <w:pStyle w:val="ListBullet"/>
        <w:spacing w:after="60"/>
        <w:ind w:left="403" w:hanging="230"/>
      </w:pPr>
      <w:r>
        <w:t>☐ La vista previa muestra cantidades y columnas razonables.</w:t>
      </w:r>
    </w:p>
    <w:p>
      <w:pPr>
        <w:pStyle w:val="ListBullet"/>
        <w:spacing w:after="60"/>
        <w:ind w:left="403" w:hanging="230"/>
      </w:pPr>
      <w:r>
        <w:t>☐ El resultado final fue confirmado y el Dashboard se actualizó.</w:t>
      </w:r>
    </w:p>
    <w:p>
      <w:pPr>
        <w:pStyle w:val="Heading2"/>
      </w:pPr>
      <w:r>
        <w:t>12.3 Lista de verificación antes de una campaña</w:t>
      </w:r>
    </w:p>
    <w:p>
      <w:pPr>
        <w:pStyle w:val="ListBullet"/>
        <w:spacing w:after="60"/>
        <w:ind w:left="403" w:hanging="230"/>
      </w:pPr>
      <w:r>
        <w:t>☐ La cuenta SMTP fue probada y corresponde al remitente autorizado.</w:t>
      </w:r>
    </w:p>
    <w:p>
      <w:pPr>
        <w:pStyle w:val="ListBullet"/>
        <w:spacing w:after="60"/>
        <w:ind w:left="403" w:hanging="230"/>
      </w:pPr>
      <w:r>
        <w:t>☐ El segmento, compañía, estado y rango de montos son correctos.</w:t>
      </w:r>
    </w:p>
    <w:p>
      <w:pPr>
        <w:pStyle w:val="ListBullet"/>
        <w:spacing w:after="60"/>
        <w:ind w:left="403" w:hanging="230"/>
      </w:pPr>
      <w:r>
        <w:t>☐ La cantidad de destinatarios coincide con lo esperado.</w:t>
      </w:r>
    </w:p>
    <w:p>
      <w:pPr>
        <w:pStyle w:val="ListBullet"/>
        <w:spacing w:after="60"/>
        <w:ind w:left="403" w:hanging="230"/>
      </w:pPr>
      <w:r>
        <w:t>☐ La plantilla y el asunto fueron revisados en vista previa.</w:t>
      </w:r>
    </w:p>
    <w:p>
      <w:pPr>
        <w:pStyle w:val="ListBullet"/>
        <w:spacing w:after="60"/>
        <w:ind w:left="403" w:hanging="230"/>
      </w:pPr>
      <w:r>
        <w:t>☐ Las variables se reemplazan y los montos están en formato CLP.</w:t>
      </w:r>
    </w:p>
    <w:p>
      <w:pPr>
        <w:pStyle w:val="ListBullet"/>
        <w:spacing w:after="60"/>
        <w:ind w:left="403" w:hanging="230"/>
      </w:pPr>
      <w:r>
        <w:t>☐ El modo individual o consolidado es el adecuado.</w:t>
      </w:r>
    </w:p>
    <w:p>
      <w:pPr>
        <w:pStyle w:val="ListBullet"/>
        <w:spacing w:after="60"/>
        <w:ind w:left="403" w:hanging="230"/>
      </w:pPr>
      <w:r>
        <w:t>☐ La pausa entre envíos cumple la política del proveedor.</w:t>
      </w:r>
    </w:p>
    <w:p>
      <w:pPr>
        <w:pStyle w:val="ListBullet"/>
        <w:spacing w:after="60"/>
        <w:ind w:left="403" w:hanging="230"/>
      </w:pPr>
      <w:r>
        <w:t>☐ El log final fue revisado y los fallidos quedaron identificados.</w:t>
      </w:r>
    </w:p>
    <w:p>
      <w:pPr>
        <w:pStyle w:val="Heading2"/>
      </w:pPr>
      <w:r>
        <w:t>12.4 Paleta visual de la aplicación</w:t>
      </w:r>
    </w:p>
    <w:p>
      <w:r>
        <w:t>Este manual utiliza la identidad visual observada en Controlia Cobranzas: azul para acciones principales, azul marino para información, grises claros para fondos y bordes, verde para resultados correctos, ámbar para precauciones y rojo para riesgos.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Uso</w:t>
            </w:r>
          </w:p>
        </w:tc>
        <w:tc>
          <w:tcPr>
            <w:tcW w:type="dxa" w:w="5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Color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Acción principal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Azul #2563EB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principal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Azul marino #0F172A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secundario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Gris pizarra #64748B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Fondos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Gris muy claro #F6F8FB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Correcto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Verde #059669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Precaución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Ámbar #B45309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Riesgo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Rojo #DC2626</w:t>
            </w:r>
          </w:p>
        </w:tc>
      </w:tr>
    </w:tbl>
    <w:p>
      <w:pPr>
        <w:spacing w:after="20"/>
      </w:pPr>
    </w:p>
    <w:p>
      <w:pPr>
        <w:pStyle w:val="Heading2"/>
      </w:pPr>
      <w:r>
        <w:t>12.5 Cierre</w:t>
      </w:r>
    </w:p>
    <w:p>
      <w:r>
        <w:t>El uso consistente de roles, asignaciones, registros de gestión y verificaciones posteriores permite que Controlia Cobranzas sea una fuente operativa confiable. Ante una duda, detenga la acción sensible, revise este manual y solicite apoyo por el canal institucional.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VERSIÓN DEL DOCUMENTO  </w:t>
            </w:r>
            <w:r>
              <w:rPr>
                <w:rFonts w:ascii="Segoe UI" w:hAnsi="Segoe UI"/>
                <w:color w:val="0F172A"/>
                <w:sz w:val="19"/>
              </w:rPr>
              <w:t>Manual de Usuario Controlia Cobranzas, versión 1.0, preparado para la entrega de la aplicación en agosto de 2026.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64748B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Segoe UI" w:hAnsi="Segoe UI"/>
        <w:b/>
        <w:color w:val="1D4ED8"/>
        <w:sz w:val="16"/>
      </w:rPr>
      <w:t>CONTROLIA COBRANZAS  | 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egoe UI" w:hAnsi="Segoe UI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D4ED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1D4ED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Segoe UI" w:hAnsi="Segoe UI"/>
      <w:b w:val="0"/>
      <w:i/>
      <w:iCs/>
      <w:color w:val="47556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Controlia Cobranzas</dc:title>
  <dc:subject>Guía detallada para usuarios no técnicos</dc:subject>
  <dc:creator>Controlia Cobranzas</dc:creator>
  <cp:keywords>Controlia, cobranzas, manual, usuarios, carteras, deudores</cp:keywords>
  <dc:description>Documento de entrega de la aplicación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