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5C901" w14:textId="0800C4A9" w:rsidR="00E968EC" w:rsidRPr="00B278C0" w:rsidRDefault="000A6AE8" w:rsidP="000A6AE8">
      <w:pPr>
        <w:jc w:val="center"/>
        <w:rPr>
          <w:b/>
          <w:bCs/>
          <w:lang w:val="en-US"/>
        </w:rPr>
      </w:pPr>
      <w:r w:rsidRPr="00B278C0">
        <w:rPr>
          <w:b/>
          <w:bCs/>
          <w:lang w:val="en-US"/>
        </w:rPr>
        <w:t>RESUMEN PATENTE</w:t>
      </w:r>
    </w:p>
    <w:p w14:paraId="33AE9D7C" w14:textId="6132D406" w:rsidR="000A6AE8" w:rsidRPr="00B278C0" w:rsidRDefault="000A6AE8" w:rsidP="000A6AE8">
      <w:pPr>
        <w:rPr>
          <w:lang w:val="en-US"/>
        </w:rPr>
      </w:pPr>
      <w:r w:rsidRPr="00B278C0">
        <w:rPr>
          <w:lang w:val="en-US"/>
        </w:rPr>
        <w:t>U.S. Patent No. 7,514,530</w:t>
      </w:r>
    </w:p>
    <w:p w14:paraId="52994C9A" w14:textId="4C595932" w:rsidR="000A6AE8" w:rsidRDefault="000A6AE8" w:rsidP="000A6AE8">
      <w:pPr>
        <w:rPr>
          <w:lang w:val="en-US"/>
        </w:rPr>
      </w:pPr>
      <w:r w:rsidRPr="000A6AE8">
        <w:rPr>
          <w:lang w:val="en-US"/>
        </w:rPr>
        <w:t xml:space="preserve">Peptide carrier for delivering siRNA into mammalian </w:t>
      </w:r>
      <w:proofErr w:type="gramStart"/>
      <w:r w:rsidRPr="000A6AE8">
        <w:rPr>
          <w:lang w:val="en-US"/>
        </w:rPr>
        <w:t>cells</w:t>
      </w:r>
      <w:proofErr w:type="gramEnd"/>
    </w:p>
    <w:p w14:paraId="48A46DC9" w14:textId="00246708" w:rsidR="000A6AE8" w:rsidRDefault="000A6AE8" w:rsidP="000A6AE8">
      <w:r w:rsidRPr="000A6AE8">
        <w:t xml:space="preserve">Portador peptídico para administrar </w:t>
      </w:r>
      <w:proofErr w:type="spellStart"/>
      <w:r>
        <w:t>siRNA</w:t>
      </w:r>
      <w:proofErr w:type="spellEnd"/>
      <w:r w:rsidRPr="000A6AE8">
        <w:t xml:space="preserve"> a células de mamíferos</w:t>
      </w:r>
    </w:p>
    <w:p w14:paraId="3F9FC40C" w14:textId="0B2448D0" w:rsidR="000A6AE8" w:rsidRDefault="000A6AE8" w:rsidP="000A6AE8">
      <w:pPr>
        <w:rPr>
          <w:rStyle w:val="Hipervnculo"/>
          <w:color w:val="auto"/>
          <w:u w:val="none"/>
        </w:rPr>
      </w:pPr>
      <w:r>
        <w:rPr>
          <w:rStyle w:val="Hipervnculo"/>
          <w:color w:val="auto"/>
          <w:u w:val="none"/>
        </w:rPr>
        <w:t>Resumen patente 15/03/24</w:t>
      </w:r>
      <w:r w:rsidR="00923236">
        <w:rPr>
          <w:rStyle w:val="Hipervnculo"/>
          <w:color w:val="auto"/>
          <w:u w:val="none"/>
        </w:rPr>
        <w:t>-19/03/24</w:t>
      </w:r>
    </w:p>
    <w:p w14:paraId="6F30CDD5" w14:textId="77777777" w:rsidR="000A6AE8" w:rsidRPr="00C15BD1" w:rsidRDefault="000A6AE8" w:rsidP="000A6AE8">
      <w:pPr>
        <w:rPr>
          <w:rStyle w:val="Hipervnculo"/>
          <w:b/>
          <w:bCs/>
          <w:color w:val="auto"/>
          <w:u w:val="none"/>
        </w:rPr>
      </w:pPr>
      <w:r w:rsidRPr="00C15BD1">
        <w:rPr>
          <w:rStyle w:val="Hipervnculo"/>
          <w:b/>
          <w:bCs/>
          <w:color w:val="auto"/>
          <w:u w:val="none"/>
        </w:rPr>
        <w:t xml:space="preserve">Campo de la invención: </w:t>
      </w:r>
    </w:p>
    <w:p w14:paraId="3E555D8A" w14:textId="77777777" w:rsidR="000A6AE8" w:rsidRDefault="000A6AE8" w:rsidP="000A6AE8">
      <w:pPr>
        <w:rPr>
          <w:rStyle w:val="Hipervnculo"/>
          <w:color w:val="auto"/>
          <w:u w:val="none"/>
        </w:rPr>
      </w:pPr>
      <w:r>
        <w:rPr>
          <w:rStyle w:val="Hipervnculo"/>
          <w:color w:val="auto"/>
          <w:u w:val="none"/>
        </w:rPr>
        <w:t>M</w:t>
      </w:r>
      <w:r w:rsidRPr="00025B18">
        <w:rPr>
          <w:rStyle w:val="Hipervnculo"/>
          <w:color w:val="auto"/>
          <w:u w:val="none"/>
        </w:rPr>
        <w:t xml:space="preserve">étodos y composiciones para administrar </w:t>
      </w:r>
      <w:proofErr w:type="spellStart"/>
      <w:r>
        <w:rPr>
          <w:rStyle w:val="Hipervnculo"/>
          <w:color w:val="auto"/>
          <w:u w:val="none"/>
        </w:rPr>
        <w:t>siRNA</w:t>
      </w:r>
      <w:proofErr w:type="spellEnd"/>
      <w:r w:rsidRPr="00025B18">
        <w:rPr>
          <w:rStyle w:val="Hipervnculo"/>
          <w:color w:val="auto"/>
          <w:u w:val="none"/>
        </w:rPr>
        <w:t xml:space="preserve"> en células de mamíferos, pudiendo dichas composiciones tratar enfermedades humanas y animales. La presente invención se refiere también a un vehículo peptídico específico (o vector peptídico de transfección).</w:t>
      </w:r>
    </w:p>
    <w:p w14:paraId="6BF24608" w14:textId="77777777" w:rsidR="000A6AE8" w:rsidRDefault="000A6AE8" w:rsidP="000A6AE8">
      <w:pPr>
        <w:rPr>
          <w:rStyle w:val="Hipervnculo"/>
          <w:color w:val="auto"/>
          <w:u w:val="none"/>
        </w:rPr>
      </w:pPr>
      <w:r w:rsidRPr="00C15BD1">
        <w:rPr>
          <w:rStyle w:val="Hipervnculo"/>
          <w:b/>
          <w:bCs/>
          <w:color w:val="auto"/>
          <w:u w:val="none"/>
        </w:rPr>
        <w:t>Péptidos MPG</w:t>
      </w:r>
      <w:r>
        <w:rPr>
          <w:rStyle w:val="Hipervnculo"/>
          <w:color w:val="auto"/>
          <w:u w:val="none"/>
        </w:rPr>
        <w:t xml:space="preserve">: </w:t>
      </w:r>
      <w:r w:rsidRPr="00025B18">
        <w:rPr>
          <w:rStyle w:val="Hipervnculo"/>
          <w:color w:val="auto"/>
          <w:u w:val="none"/>
        </w:rPr>
        <w:t>forma complejos no covalentes estables con ácidos nucleicos y promueve su administración en un gran panel de líneas celulares</w:t>
      </w:r>
    </w:p>
    <w:p w14:paraId="48758503" w14:textId="77777777" w:rsidR="000A6AE8" w:rsidRDefault="000A6AE8" w:rsidP="000A6AE8">
      <w:pPr>
        <w:rPr>
          <w:rStyle w:val="Hipervnculo"/>
          <w:color w:val="auto"/>
          <w:u w:val="none"/>
        </w:rPr>
      </w:pPr>
      <w:r>
        <w:rPr>
          <w:rStyle w:val="Hipervnculo"/>
          <w:color w:val="auto"/>
          <w:u w:val="none"/>
        </w:rPr>
        <w:t xml:space="preserve">MPG: </w:t>
      </w:r>
      <w:r w:rsidRPr="00025B18">
        <w:rPr>
          <w:rStyle w:val="Hipervnculo"/>
          <w:color w:val="auto"/>
          <w:u w:val="none"/>
        </w:rPr>
        <w:t>es un péptido anfipático bipartito</w:t>
      </w:r>
    </w:p>
    <w:p w14:paraId="5F7C9157" w14:textId="77777777" w:rsidR="000A6AE8" w:rsidRDefault="000A6AE8" w:rsidP="000A6AE8">
      <w:pPr>
        <w:rPr>
          <w:rStyle w:val="Hipervnculo"/>
          <w:color w:val="auto"/>
          <w:u w:val="none"/>
        </w:rPr>
      </w:pPr>
      <w:r>
        <w:rPr>
          <w:rStyle w:val="Hipervnculo"/>
          <w:color w:val="auto"/>
          <w:u w:val="none"/>
        </w:rPr>
        <w:t xml:space="preserve">Características: </w:t>
      </w:r>
    </w:p>
    <w:p w14:paraId="48E09ADC" w14:textId="77777777" w:rsidR="000A6AE8" w:rsidRDefault="000A6AE8" w:rsidP="000A6AE8">
      <w:pPr>
        <w:rPr>
          <w:rStyle w:val="Hipervnculo"/>
          <w:color w:val="auto"/>
          <w:u w:val="none"/>
        </w:rPr>
      </w:pPr>
      <w:r>
        <w:rPr>
          <w:rStyle w:val="Hipervnculo"/>
          <w:color w:val="auto"/>
          <w:u w:val="none"/>
        </w:rPr>
        <w:t>1)M</w:t>
      </w:r>
      <w:r w:rsidRPr="00C15BD1">
        <w:rPr>
          <w:rStyle w:val="Hipervnculo"/>
          <w:color w:val="auto"/>
          <w:u w:val="none"/>
        </w:rPr>
        <w:t>uestra una alta afinidad por los oligonucleótidos (ADN) monocatenarios y bicatenarios y es capaz de administrarlos a células de mamíferos en &lt;1 h</w:t>
      </w:r>
      <w:r>
        <w:rPr>
          <w:rStyle w:val="Hipervnculo"/>
          <w:color w:val="auto"/>
          <w:u w:val="none"/>
        </w:rPr>
        <w:t xml:space="preserve">, </w:t>
      </w:r>
      <w:r w:rsidRPr="00C15BD1">
        <w:rPr>
          <w:rStyle w:val="Hipervnculo"/>
          <w:color w:val="auto"/>
          <w:highlight w:val="yellow"/>
          <w:u w:val="none"/>
        </w:rPr>
        <w:t xml:space="preserve">independientemente de la vía </w:t>
      </w:r>
      <w:proofErr w:type="gramStart"/>
      <w:r w:rsidRPr="00C15BD1">
        <w:rPr>
          <w:rStyle w:val="Hipervnculo"/>
          <w:color w:val="auto"/>
          <w:highlight w:val="yellow"/>
          <w:u w:val="none"/>
        </w:rPr>
        <w:t>del endosoma</w:t>
      </w:r>
      <w:proofErr w:type="gramEnd"/>
      <w:r w:rsidRPr="00C15BD1">
        <w:rPr>
          <w:rStyle w:val="Hipervnculo"/>
          <w:color w:val="auto"/>
          <w:highlight w:val="yellow"/>
          <w:u w:val="none"/>
        </w:rPr>
        <w:t>.</w:t>
      </w:r>
    </w:p>
    <w:p w14:paraId="6BA1C51B" w14:textId="77777777" w:rsidR="000A6AE8" w:rsidRDefault="000A6AE8" w:rsidP="000A6AE8">
      <w:pPr>
        <w:rPr>
          <w:rStyle w:val="Hipervnculo"/>
          <w:color w:val="auto"/>
          <w:u w:val="none"/>
        </w:rPr>
      </w:pPr>
      <w:r>
        <w:rPr>
          <w:rStyle w:val="Hipervnculo"/>
          <w:color w:val="auto"/>
          <w:u w:val="none"/>
        </w:rPr>
        <w:t xml:space="preserve">2) Afinidad </w:t>
      </w:r>
      <w:r w:rsidRPr="00C15BD1">
        <w:rPr>
          <w:rStyle w:val="Hipervnculo"/>
          <w:color w:val="auto"/>
          <w:u w:val="none"/>
        </w:rPr>
        <w:t>por los oligonucleótidos monocatenarios era al menos 2 veces mayor que por los oligonucleótidos bicatenarios.</w:t>
      </w:r>
    </w:p>
    <w:p w14:paraId="38139F2F" w14:textId="77777777" w:rsidR="000A6AE8" w:rsidRDefault="000A6AE8" w:rsidP="000A6AE8">
      <w:pPr>
        <w:rPr>
          <w:rStyle w:val="Hipervnculo"/>
          <w:color w:val="auto"/>
          <w:u w:val="none"/>
        </w:rPr>
      </w:pPr>
      <w:r>
        <w:rPr>
          <w:rStyle w:val="Hipervnculo"/>
          <w:color w:val="auto"/>
          <w:u w:val="none"/>
        </w:rPr>
        <w:t>3) A</w:t>
      </w:r>
      <w:r w:rsidRPr="00C15BD1">
        <w:rPr>
          <w:rStyle w:val="Hipervnculo"/>
          <w:color w:val="auto"/>
          <w:u w:val="none"/>
        </w:rPr>
        <w:t>lta afinidad por los ácidos nucleicos y los protege de la degradación</w:t>
      </w:r>
      <w:r>
        <w:rPr>
          <w:rStyle w:val="Hipervnculo"/>
          <w:color w:val="auto"/>
          <w:u w:val="none"/>
        </w:rPr>
        <w:t>,</w:t>
      </w:r>
      <w:r w:rsidRPr="00C15BD1">
        <w:rPr>
          <w:rStyle w:val="Hipervnculo"/>
          <w:color w:val="auto"/>
          <w:u w:val="none"/>
        </w:rPr>
        <w:t xml:space="preserve"> puede generalizarse a la administración eficaz de vectores de expresión de plásmidos y ADNc anti sentido de longitud completa.</w:t>
      </w:r>
    </w:p>
    <w:p w14:paraId="63CEAA02" w14:textId="77777777" w:rsidR="000A6AE8" w:rsidRDefault="000A6AE8" w:rsidP="000A6AE8">
      <w:pPr>
        <w:rPr>
          <w:rStyle w:val="Hipervnculo"/>
          <w:color w:val="auto"/>
          <w:u w:val="none"/>
        </w:rPr>
      </w:pPr>
      <w:r w:rsidRPr="00C15BD1">
        <w:rPr>
          <w:rStyle w:val="Hipervnculo"/>
          <w:color w:val="auto"/>
          <w:u w:val="none"/>
        </w:rPr>
        <w:t>4) Protege contra la</w:t>
      </w:r>
      <w:r>
        <w:rPr>
          <w:rStyle w:val="Hipervnculo"/>
          <w:color w:val="auto"/>
          <w:u w:val="none"/>
        </w:rPr>
        <w:t>s nucleasas</w:t>
      </w:r>
    </w:p>
    <w:p w14:paraId="0A5D0A10" w14:textId="77777777" w:rsidR="000A6AE8" w:rsidRDefault="000A6AE8" w:rsidP="000A6AE8">
      <w:pPr>
        <w:rPr>
          <w:rStyle w:val="Hipervnculo"/>
          <w:color w:val="auto"/>
          <w:u w:val="none"/>
        </w:rPr>
      </w:pPr>
      <w:r>
        <w:rPr>
          <w:rStyle w:val="Hipervnculo"/>
          <w:color w:val="auto"/>
          <w:u w:val="none"/>
        </w:rPr>
        <w:t>5) Se ha o</w:t>
      </w:r>
      <w:r w:rsidRPr="00C15BD1">
        <w:rPr>
          <w:rStyle w:val="Hipervnculo"/>
          <w:color w:val="auto"/>
          <w:u w:val="none"/>
        </w:rPr>
        <w:t>bservado un rápido autoensamblaje entre el MPG y el ADN, que implica interacciones electrostáticas, como ya se propuso para los péptidos catiónicos, y luego promueve nuevas interacciones péptido-péptido, lo que conduce a la formación de una "jaula" protectora alrededor de la molécula de ADN.</w:t>
      </w:r>
    </w:p>
    <w:p w14:paraId="2E57BA8A" w14:textId="77777777" w:rsidR="000A6AE8" w:rsidRDefault="000A6AE8" w:rsidP="000A6AE8">
      <w:pPr>
        <w:rPr>
          <w:rStyle w:val="Hipervnculo"/>
          <w:color w:val="auto"/>
          <w:u w:val="none"/>
        </w:rPr>
      </w:pPr>
      <w:r>
        <w:rPr>
          <w:rStyle w:val="Hipervnculo"/>
          <w:color w:val="auto"/>
          <w:u w:val="none"/>
        </w:rPr>
        <w:t>6) P</w:t>
      </w:r>
      <w:r w:rsidRPr="00C15BD1">
        <w:rPr>
          <w:rStyle w:val="Hipervnculo"/>
          <w:color w:val="auto"/>
          <w:u w:val="none"/>
        </w:rPr>
        <w:t>uede usarse para la administración de ARN a células y, más específicamente, para la administración a células de grandes fragmentos de ARNm.</w:t>
      </w:r>
    </w:p>
    <w:p w14:paraId="769C18D8" w14:textId="77777777" w:rsidR="000A6AE8" w:rsidRDefault="000A6AE8" w:rsidP="000A6AE8">
      <w:pPr>
        <w:rPr>
          <w:rStyle w:val="Hipervnculo"/>
          <w:color w:val="auto"/>
          <w:u w:val="none"/>
        </w:rPr>
      </w:pPr>
      <w:r>
        <w:rPr>
          <w:rStyle w:val="Hipervnculo"/>
          <w:color w:val="auto"/>
          <w:u w:val="none"/>
        </w:rPr>
        <w:t>7) La</w:t>
      </w:r>
      <w:r w:rsidRPr="00C15BD1">
        <w:rPr>
          <w:rStyle w:val="Hipervnculo"/>
          <w:color w:val="auto"/>
          <w:u w:val="none"/>
        </w:rPr>
        <w:t xml:space="preserve"> secuencia de localización nuclear (NLS) de MPG es necesaria tanto para las interacciones electrostáticas con el ADN como para la focalización nuclear, y que las partículas de MPG/ADN interactúan con la maquinaria de importación nuclear.</w:t>
      </w:r>
    </w:p>
    <w:p w14:paraId="5D721911" w14:textId="77777777" w:rsidR="000A6AE8" w:rsidRPr="00C15BD1" w:rsidRDefault="000A6AE8" w:rsidP="000A6AE8">
      <w:pPr>
        <w:rPr>
          <w:rStyle w:val="Hipervnculo"/>
          <w:color w:val="auto"/>
          <w:u w:val="none"/>
        </w:rPr>
      </w:pPr>
      <w:r>
        <w:rPr>
          <w:rStyle w:val="Hipervnculo"/>
          <w:color w:val="auto"/>
          <w:u w:val="none"/>
        </w:rPr>
        <w:t>8)</w:t>
      </w:r>
      <w:r w:rsidRPr="00C15BD1">
        <w:t xml:space="preserve"> </w:t>
      </w:r>
      <w:r w:rsidRPr="00C15BD1">
        <w:rPr>
          <w:highlight w:val="yellow"/>
        </w:rPr>
        <w:t xml:space="preserve">Se </w:t>
      </w:r>
      <w:r w:rsidRPr="00C15BD1">
        <w:rPr>
          <w:rStyle w:val="Hipervnculo"/>
          <w:color w:val="auto"/>
          <w:highlight w:val="yellow"/>
          <w:u w:val="none"/>
        </w:rPr>
        <w:t xml:space="preserve">ha demostrado inesperadamente que dicho péptido MPG y una variante caracterizada por una mutación en NLS pueden administrar </w:t>
      </w:r>
      <w:proofErr w:type="spellStart"/>
      <w:r w:rsidRPr="00C15BD1">
        <w:rPr>
          <w:rStyle w:val="Hipervnculo"/>
          <w:color w:val="auto"/>
          <w:highlight w:val="yellow"/>
          <w:u w:val="none"/>
        </w:rPr>
        <w:t>siRNA</w:t>
      </w:r>
      <w:proofErr w:type="spellEnd"/>
      <w:r w:rsidRPr="00C15BD1">
        <w:rPr>
          <w:rStyle w:val="Hipervnculo"/>
          <w:color w:val="auto"/>
          <w:highlight w:val="yellow"/>
          <w:u w:val="none"/>
        </w:rPr>
        <w:t xml:space="preserve"> a células de mamíferos.</w:t>
      </w:r>
    </w:p>
    <w:p w14:paraId="7D389217" w14:textId="77777777" w:rsidR="000A6AE8" w:rsidRDefault="000A6AE8" w:rsidP="000A6AE8">
      <w:pPr>
        <w:rPr>
          <w:rStyle w:val="Hipervnculo"/>
          <w:b/>
          <w:bCs/>
          <w:color w:val="auto"/>
          <w:u w:val="none"/>
        </w:rPr>
      </w:pPr>
      <w:r w:rsidRPr="00C15BD1">
        <w:rPr>
          <w:rStyle w:val="Hipervnculo"/>
          <w:b/>
          <w:bCs/>
          <w:color w:val="auto"/>
          <w:u w:val="none"/>
        </w:rPr>
        <w:t>Aspectos:</w:t>
      </w:r>
    </w:p>
    <w:p w14:paraId="7E49724A" w14:textId="77777777" w:rsidR="000A6AE8" w:rsidRDefault="000A6AE8" w:rsidP="000A6AE8">
      <w:pPr>
        <w:rPr>
          <w:rFonts w:ascii="Roboto" w:hAnsi="Roboto"/>
          <w:color w:val="333333"/>
          <w:sz w:val="20"/>
          <w:szCs w:val="20"/>
          <w:shd w:val="clear" w:color="auto" w:fill="FFFFFF"/>
        </w:rPr>
      </w:pPr>
      <w:r>
        <w:rPr>
          <w:rStyle w:val="Hipervnculo"/>
          <w:color w:val="auto"/>
          <w:u w:val="none"/>
        </w:rPr>
        <w:t>C</w:t>
      </w:r>
      <w:r w:rsidRPr="00C15BD1">
        <w:rPr>
          <w:rStyle w:val="Hipervnculo"/>
          <w:color w:val="auto"/>
          <w:u w:val="none"/>
        </w:rPr>
        <w:t>omplejo que comprende un portador peptídico</w:t>
      </w:r>
      <w:r>
        <w:rPr>
          <w:rStyle w:val="Hipervnculo"/>
          <w:color w:val="auto"/>
          <w:u w:val="none"/>
        </w:rPr>
        <w:t>-</w:t>
      </w:r>
      <w:r>
        <w:rPr>
          <w:rFonts w:ascii="Roboto" w:hAnsi="Roboto"/>
          <w:color w:val="333333"/>
          <w:sz w:val="20"/>
          <w:szCs w:val="20"/>
          <w:shd w:val="clear" w:color="auto" w:fill="FFFFFF"/>
        </w:rPr>
        <w:t xml:space="preserve"> y un </w:t>
      </w:r>
      <w:proofErr w:type="spellStart"/>
      <w:proofErr w:type="gramStart"/>
      <w:r>
        <w:rPr>
          <w:rFonts w:ascii="Roboto" w:hAnsi="Roboto"/>
          <w:color w:val="333333"/>
          <w:sz w:val="20"/>
          <w:szCs w:val="20"/>
          <w:shd w:val="clear" w:color="auto" w:fill="FFFFFF"/>
        </w:rPr>
        <w:t>siRNA</w:t>
      </w:r>
      <w:proofErr w:type="spellEnd"/>
      <w:r>
        <w:rPr>
          <w:rFonts w:ascii="Roboto" w:hAnsi="Roboto"/>
          <w:color w:val="333333"/>
          <w:sz w:val="20"/>
          <w:szCs w:val="20"/>
          <w:shd w:val="clear" w:color="auto" w:fill="FFFFFF"/>
        </w:rPr>
        <w:t xml:space="preserve">  apropiado</w:t>
      </w:r>
      <w:proofErr w:type="gramEnd"/>
    </w:p>
    <w:p w14:paraId="62B27D7D" w14:textId="77777777" w:rsidR="000A6AE8" w:rsidRPr="004C7B2C" w:rsidRDefault="000A6AE8" w:rsidP="000A6AE8">
      <w:pPr>
        <w:rPr>
          <w:rStyle w:val="Hipervnculo"/>
          <w:color w:val="auto"/>
          <w:sz w:val="24"/>
          <w:szCs w:val="24"/>
          <w:u w:val="none"/>
        </w:rPr>
      </w:pPr>
      <w:r w:rsidRPr="004C7B2C">
        <w:rPr>
          <w:shd w:val="clear" w:color="auto" w:fill="FFFFFF"/>
        </w:rPr>
        <w:lastRenderedPageBreak/>
        <w:t xml:space="preserve">Dicho complejo, dicho portador peptídico y dicho </w:t>
      </w:r>
      <w:proofErr w:type="spellStart"/>
      <w:r w:rsidRPr="004C7B2C">
        <w:rPr>
          <w:shd w:val="clear" w:color="auto" w:fill="FFFFFF"/>
        </w:rPr>
        <w:t>siRNA</w:t>
      </w:r>
      <w:proofErr w:type="spellEnd"/>
      <w:r w:rsidRPr="004C7B2C">
        <w:rPr>
          <w:shd w:val="clear" w:color="auto" w:fill="FFFFFF"/>
        </w:rPr>
        <w:t xml:space="preserve"> están preferentemente en una proporción de 1:1 a 20:1 (relación molar), preferentemente en una proporción de 10:1</w:t>
      </w:r>
      <w:r>
        <w:rPr>
          <w:shd w:val="clear" w:color="auto" w:fill="FFFFFF"/>
        </w:rPr>
        <w:t>(carga)</w:t>
      </w:r>
      <w:r w:rsidRPr="004C7B2C">
        <w:rPr>
          <w:shd w:val="clear" w:color="auto" w:fill="FFFFFF"/>
        </w:rPr>
        <w:t>.</w:t>
      </w:r>
    </w:p>
    <w:p w14:paraId="748500F2" w14:textId="77777777" w:rsidR="000A6AE8" w:rsidRPr="001C7E49" w:rsidRDefault="000A6AE8" w:rsidP="000A6AE8">
      <w:pPr>
        <w:pStyle w:val="Prrafodelista"/>
        <w:numPr>
          <w:ilvl w:val="0"/>
          <w:numId w:val="1"/>
        </w:numPr>
        <w:rPr>
          <w:rStyle w:val="Hipervnculo"/>
          <w:color w:val="auto"/>
          <w:u w:val="none"/>
        </w:rPr>
      </w:pPr>
      <w:r w:rsidRPr="001C7E49">
        <w:rPr>
          <w:rStyle w:val="Hipervnculo"/>
          <w:color w:val="auto"/>
          <w:u w:val="none"/>
        </w:rPr>
        <w:t>SEQ ID NO:1 GALFLGFLGAAGSTMGAWSQPK</w:t>
      </w:r>
      <w:r w:rsidRPr="00813BDC">
        <w:rPr>
          <w:rStyle w:val="Hipervnculo"/>
          <w:color w:val="auto"/>
          <w:highlight w:val="yellow"/>
          <w:u w:val="none"/>
        </w:rPr>
        <w:t>R1</w:t>
      </w:r>
      <w:r w:rsidRPr="001C7E49">
        <w:rPr>
          <w:rStyle w:val="Hipervnculo"/>
          <w:color w:val="auto"/>
          <w:u w:val="none"/>
        </w:rPr>
        <w:t>KRKV</w:t>
      </w:r>
      <w:r w:rsidRPr="00813BDC">
        <w:rPr>
          <w:rStyle w:val="Hipervnculo"/>
          <w:color w:val="auto"/>
          <w:highlight w:val="yellow"/>
          <w:u w:val="none"/>
        </w:rPr>
        <w:t>R2</w:t>
      </w:r>
    </w:p>
    <w:p w14:paraId="2D822A44" w14:textId="77777777" w:rsidR="000A6AE8" w:rsidRDefault="000A6AE8" w:rsidP="000A6AE8">
      <w:pPr>
        <w:pStyle w:val="Prrafodelista"/>
        <w:numPr>
          <w:ilvl w:val="0"/>
          <w:numId w:val="2"/>
        </w:numPr>
        <w:rPr>
          <w:rStyle w:val="Hipervnculo"/>
          <w:color w:val="auto"/>
          <w:u w:val="none"/>
        </w:rPr>
      </w:pPr>
      <w:r>
        <w:rPr>
          <w:rStyle w:val="Hipervnculo"/>
          <w:color w:val="auto"/>
          <w:u w:val="none"/>
        </w:rPr>
        <w:t>E</w:t>
      </w:r>
      <w:r w:rsidRPr="001C7E49">
        <w:rPr>
          <w:rStyle w:val="Hipervnculo"/>
          <w:color w:val="auto"/>
          <w:u w:val="none"/>
        </w:rPr>
        <w:t>n el que R1 representa cualquier residuo de aminoácido y más preferiblemente K o S</w:t>
      </w:r>
    </w:p>
    <w:p w14:paraId="759C5156" w14:textId="77777777" w:rsidR="000A6AE8" w:rsidRDefault="000A6AE8" w:rsidP="000A6AE8">
      <w:pPr>
        <w:pStyle w:val="Prrafodelista"/>
        <w:numPr>
          <w:ilvl w:val="0"/>
          <w:numId w:val="2"/>
        </w:numPr>
        <w:rPr>
          <w:rStyle w:val="Hipervnculo"/>
          <w:color w:val="auto"/>
          <w:u w:val="none"/>
        </w:rPr>
      </w:pPr>
      <w:r w:rsidRPr="001C7E49">
        <w:rPr>
          <w:rStyle w:val="Hipervnculo"/>
          <w:color w:val="auto"/>
          <w:u w:val="none"/>
        </w:rPr>
        <w:t xml:space="preserve">R2 es nulo o representa uno de los siguientes grupos: </w:t>
      </w:r>
      <w:proofErr w:type="spellStart"/>
      <w:r w:rsidRPr="001C7E49">
        <w:rPr>
          <w:rStyle w:val="Hipervnculo"/>
          <w:color w:val="auto"/>
          <w:u w:val="none"/>
        </w:rPr>
        <w:t>cisteamida</w:t>
      </w:r>
      <w:proofErr w:type="spellEnd"/>
      <w:r w:rsidRPr="001C7E49">
        <w:rPr>
          <w:rStyle w:val="Hipervnculo"/>
          <w:color w:val="auto"/>
          <w:u w:val="none"/>
        </w:rPr>
        <w:t>, cisteína, tiol, amida</w:t>
      </w:r>
      <w:r>
        <w:rPr>
          <w:rStyle w:val="Hipervnculo"/>
          <w:color w:val="auto"/>
          <w:u w:val="none"/>
        </w:rPr>
        <w:t xml:space="preserve">, </w:t>
      </w:r>
      <w:r w:rsidRPr="001C7E49">
        <w:rPr>
          <w:rStyle w:val="Hipervnculo"/>
          <w:color w:val="auto"/>
          <w:u w:val="none"/>
        </w:rPr>
        <w:t>lineal o ramificado</w:t>
      </w:r>
      <w:r>
        <w:rPr>
          <w:rStyle w:val="Hipervnculo"/>
          <w:color w:val="auto"/>
          <w:u w:val="none"/>
        </w:rPr>
        <w:t xml:space="preserve"> </w:t>
      </w:r>
      <w:r w:rsidRPr="001C7E49">
        <w:rPr>
          <w:rStyle w:val="Hipervnculo"/>
          <w:color w:val="auto"/>
          <w:u w:val="none"/>
        </w:rPr>
        <w:t>alquilo C1-C6</w:t>
      </w:r>
      <w:r>
        <w:rPr>
          <w:rStyle w:val="Hipervnculo"/>
          <w:color w:val="auto"/>
          <w:u w:val="none"/>
        </w:rPr>
        <w:t xml:space="preserve"> op</w:t>
      </w:r>
      <w:r w:rsidRPr="001C7E49">
        <w:rPr>
          <w:rStyle w:val="Hipervnculo"/>
          <w:color w:val="auto"/>
          <w:u w:val="none"/>
        </w:rPr>
        <w:t xml:space="preserve">cionalmente sustituido, amina primaria o secundaria, derivado </w:t>
      </w:r>
      <w:proofErr w:type="spellStart"/>
      <w:r w:rsidRPr="001C7E49">
        <w:rPr>
          <w:rStyle w:val="Hipervnculo"/>
          <w:color w:val="auto"/>
          <w:u w:val="none"/>
        </w:rPr>
        <w:t>osídico</w:t>
      </w:r>
      <w:proofErr w:type="spellEnd"/>
      <w:r w:rsidRPr="001C7E49">
        <w:rPr>
          <w:rStyle w:val="Hipervnculo"/>
          <w:color w:val="auto"/>
          <w:u w:val="none"/>
        </w:rPr>
        <w:t xml:space="preserve">, lípido, fosfolípido o </w:t>
      </w:r>
      <w:r w:rsidRPr="00813BDC">
        <w:rPr>
          <w:rStyle w:val="Hipervnculo"/>
          <w:color w:val="auto"/>
          <w:highlight w:val="yellow"/>
          <w:u w:val="none"/>
        </w:rPr>
        <w:t>colesterol</w:t>
      </w:r>
      <w:r w:rsidRPr="001C7E49">
        <w:rPr>
          <w:rStyle w:val="Hipervnculo"/>
          <w:color w:val="auto"/>
          <w:u w:val="none"/>
        </w:rPr>
        <w:t xml:space="preserve"> y dicho </w:t>
      </w:r>
      <w:proofErr w:type="spellStart"/>
      <w:r>
        <w:rPr>
          <w:rStyle w:val="Hipervnculo"/>
          <w:color w:val="auto"/>
          <w:u w:val="none"/>
        </w:rPr>
        <w:t>siRNA</w:t>
      </w:r>
      <w:proofErr w:type="spellEnd"/>
      <w:r w:rsidRPr="001C7E49">
        <w:rPr>
          <w:rStyle w:val="Hipervnculo"/>
          <w:color w:val="auto"/>
          <w:u w:val="none"/>
        </w:rPr>
        <w:t xml:space="preserve"> es seleccionado </w:t>
      </w:r>
      <w:r w:rsidRPr="00813BDC">
        <w:rPr>
          <w:rStyle w:val="Hipervnculo"/>
          <w:color w:val="auto"/>
          <w:highlight w:val="green"/>
          <w:u w:val="none"/>
        </w:rPr>
        <w:t>para silenciar</w:t>
      </w:r>
      <w:r w:rsidRPr="001C7E49">
        <w:rPr>
          <w:rStyle w:val="Hipervnculo"/>
          <w:color w:val="auto"/>
          <w:u w:val="none"/>
        </w:rPr>
        <w:t xml:space="preserve"> un ARNm objetivo.</w:t>
      </w:r>
    </w:p>
    <w:p w14:paraId="08E939E5" w14:textId="77777777" w:rsidR="000A6AE8" w:rsidRPr="004C7B2C" w:rsidRDefault="000A6AE8" w:rsidP="000A6AE8">
      <w:pPr>
        <w:rPr>
          <w:rStyle w:val="Hipervnculo"/>
          <w:color w:val="auto"/>
          <w:u w:val="none"/>
        </w:rPr>
      </w:pPr>
      <w:r>
        <w:rPr>
          <w:rStyle w:val="Hipervnculo"/>
          <w:color w:val="auto"/>
          <w:u w:val="none"/>
        </w:rPr>
        <w:t>Resultado: P</w:t>
      </w:r>
      <w:r w:rsidRPr="004C7B2C">
        <w:rPr>
          <w:rStyle w:val="Hipervnculo"/>
          <w:color w:val="auto"/>
          <w:u w:val="none"/>
        </w:rPr>
        <w:t xml:space="preserve">ueden administrar </w:t>
      </w:r>
      <w:proofErr w:type="spellStart"/>
      <w:r>
        <w:rPr>
          <w:rStyle w:val="Hipervnculo"/>
          <w:color w:val="auto"/>
          <w:u w:val="none"/>
        </w:rPr>
        <w:t>siRNA</w:t>
      </w:r>
      <w:proofErr w:type="spellEnd"/>
      <w:r w:rsidRPr="004C7B2C">
        <w:rPr>
          <w:rStyle w:val="Hipervnculo"/>
          <w:color w:val="auto"/>
          <w:u w:val="none"/>
        </w:rPr>
        <w:t xml:space="preserve"> en células cultivadas con alta eficiencia</w:t>
      </w:r>
      <w:r>
        <w:rPr>
          <w:rStyle w:val="Hipervnculo"/>
          <w:color w:val="auto"/>
          <w:u w:val="none"/>
        </w:rPr>
        <w:t xml:space="preserve">, </w:t>
      </w:r>
      <w:r w:rsidRPr="004C7B2C">
        <w:rPr>
          <w:rStyle w:val="Hipervnculo"/>
          <w:color w:val="auto"/>
          <w:u w:val="none"/>
        </w:rPr>
        <w:t xml:space="preserve">en todos los casos, el </w:t>
      </w:r>
      <w:proofErr w:type="spellStart"/>
      <w:r>
        <w:rPr>
          <w:rStyle w:val="Hipervnculo"/>
          <w:color w:val="auto"/>
          <w:u w:val="none"/>
        </w:rPr>
        <w:t>siRNA</w:t>
      </w:r>
      <w:proofErr w:type="spellEnd"/>
      <w:r w:rsidRPr="004C7B2C">
        <w:rPr>
          <w:rStyle w:val="Hipervnculo"/>
          <w:color w:val="auto"/>
          <w:u w:val="none"/>
        </w:rPr>
        <w:t xml:space="preserve"> seleccionado, combinado con dicho péptido portador, penetra en la célula (internalización) y conserva sus propiedades biológicas</w:t>
      </w:r>
      <w:r>
        <w:rPr>
          <w:rStyle w:val="Hipervnculo"/>
          <w:color w:val="auto"/>
          <w:u w:val="none"/>
        </w:rPr>
        <w:t>.</w:t>
      </w:r>
    </w:p>
    <w:p w14:paraId="765EBE29" w14:textId="77777777" w:rsidR="000A6AE8" w:rsidRPr="004E6B5B" w:rsidRDefault="000A6AE8" w:rsidP="000A6AE8">
      <w:pPr>
        <w:pStyle w:val="Prrafodelista"/>
        <w:numPr>
          <w:ilvl w:val="0"/>
          <w:numId w:val="1"/>
        </w:numPr>
        <w:rPr>
          <w:rStyle w:val="Hipervnculo"/>
          <w:color w:val="auto"/>
          <w:highlight w:val="red"/>
          <w:u w:val="none"/>
        </w:rPr>
      </w:pPr>
      <w:r w:rsidRPr="004E6B5B">
        <w:rPr>
          <w:rStyle w:val="Hipervnculo"/>
          <w:color w:val="auto"/>
          <w:highlight w:val="red"/>
          <w:u w:val="none"/>
        </w:rPr>
        <w:t>En el caso en el que R1 = K, el portador peptídico es MPG (SEQ ID NO:2)</w:t>
      </w:r>
    </w:p>
    <w:p w14:paraId="2BB21F09" w14:textId="77777777" w:rsidR="000A6AE8" w:rsidRPr="004C7B2C" w:rsidRDefault="000A6AE8" w:rsidP="000A6AE8">
      <w:pPr>
        <w:rPr>
          <w:rStyle w:val="Hipervnculo"/>
          <w:color w:val="auto"/>
          <w:u w:val="none"/>
        </w:rPr>
      </w:pPr>
      <w:r w:rsidRPr="004E6B5B">
        <w:rPr>
          <w:rStyle w:val="Hipervnculo"/>
          <w:color w:val="auto"/>
          <w:highlight w:val="red"/>
          <w:u w:val="none"/>
        </w:rPr>
        <w:t>Resultado: puede usarse para administrar tanto ADN como ARN de pequeño tamaño en el citoplasma de la célula diana, con alta eficacia.</w:t>
      </w:r>
      <w:r>
        <w:rPr>
          <w:rStyle w:val="Hipervnculo"/>
          <w:color w:val="auto"/>
          <w:u w:val="none"/>
        </w:rPr>
        <w:t xml:space="preserve"> </w:t>
      </w:r>
    </w:p>
    <w:p w14:paraId="6B5D64B9" w14:textId="77777777" w:rsidR="000A6AE8" w:rsidRDefault="000A6AE8" w:rsidP="000A6AE8">
      <w:pPr>
        <w:pStyle w:val="Prrafodelista"/>
        <w:numPr>
          <w:ilvl w:val="0"/>
          <w:numId w:val="1"/>
        </w:numPr>
        <w:rPr>
          <w:rStyle w:val="Hipervnculo"/>
          <w:color w:val="auto"/>
          <w:u w:val="none"/>
        </w:rPr>
      </w:pPr>
      <w:r>
        <w:rPr>
          <w:rStyle w:val="Hipervnculo"/>
          <w:color w:val="auto"/>
          <w:u w:val="none"/>
        </w:rPr>
        <w:t>E</w:t>
      </w:r>
      <w:r w:rsidRPr="001C7E49">
        <w:rPr>
          <w:rStyle w:val="Hipervnculo"/>
          <w:color w:val="auto"/>
          <w:u w:val="none"/>
        </w:rPr>
        <w:t xml:space="preserve">n el caso en que R1 = S, el portador peptídico es </w:t>
      </w:r>
      <w:r w:rsidRPr="00893597">
        <w:rPr>
          <w:rStyle w:val="Hipervnculo"/>
          <w:color w:val="auto"/>
          <w:highlight w:val="yellow"/>
          <w:u w:val="none"/>
        </w:rPr>
        <w:t>MPG ΔNLS</w:t>
      </w:r>
      <w:r w:rsidRPr="001C7E49">
        <w:rPr>
          <w:rStyle w:val="Hipervnculo"/>
          <w:color w:val="auto"/>
          <w:u w:val="none"/>
        </w:rPr>
        <w:t xml:space="preserve"> (SEQ ID NO:3) </w:t>
      </w:r>
    </w:p>
    <w:p w14:paraId="78EDFFD8" w14:textId="77777777" w:rsidR="000A6AE8" w:rsidRDefault="000A6AE8" w:rsidP="000A6AE8">
      <w:pPr>
        <w:pStyle w:val="Prrafodelista"/>
        <w:numPr>
          <w:ilvl w:val="0"/>
          <w:numId w:val="1"/>
        </w:numPr>
        <w:rPr>
          <w:rStyle w:val="Hipervnculo"/>
          <w:color w:val="auto"/>
          <w:u w:val="none"/>
        </w:rPr>
      </w:pPr>
      <w:r>
        <w:rPr>
          <w:rStyle w:val="Hipervnculo"/>
          <w:color w:val="auto"/>
          <w:u w:val="none"/>
        </w:rPr>
        <w:t>U</w:t>
      </w:r>
      <w:r w:rsidRPr="004C7B2C">
        <w:rPr>
          <w:rStyle w:val="Hipervnculo"/>
          <w:color w:val="auto"/>
          <w:u w:val="none"/>
        </w:rPr>
        <w:t>n kit de transfección que comprende al menos tampones apropiados, controles positivos y negativos y al menos un complejo tal como se define anteriormente, estando dicho complejo en solución o liofilizado.</w:t>
      </w:r>
    </w:p>
    <w:p w14:paraId="5D7CFE5F" w14:textId="77777777" w:rsidR="000A6AE8" w:rsidRDefault="000A6AE8" w:rsidP="000A6AE8">
      <w:pPr>
        <w:pStyle w:val="Prrafodelista"/>
        <w:numPr>
          <w:ilvl w:val="0"/>
          <w:numId w:val="1"/>
        </w:numPr>
        <w:rPr>
          <w:rStyle w:val="Hipervnculo"/>
          <w:color w:val="auto"/>
          <w:u w:val="none"/>
        </w:rPr>
      </w:pPr>
      <w:r>
        <w:rPr>
          <w:rStyle w:val="Hipervnculo"/>
          <w:color w:val="auto"/>
          <w:u w:val="none"/>
        </w:rPr>
        <w:t>M</w:t>
      </w:r>
      <w:r w:rsidRPr="004C7B2C">
        <w:rPr>
          <w:rStyle w:val="Hipervnculo"/>
          <w:color w:val="auto"/>
          <w:u w:val="none"/>
        </w:rPr>
        <w:t>étodo para prevenir o tratar una enfermedad de un mamífero, en el que al menos un síntoma de la enfermedad está mediado al menos en parte por la presencia de ARNm anormal en el mamífero a tratar</w:t>
      </w:r>
      <w:r>
        <w:rPr>
          <w:rStyle w:val="Hipervnculo"/>
          <w:color w:val="auto"/>
          <w:u w:val="none"/>
        </w:rPr>
        <w:t>.</w:t>
      </w:r>
    </w:p>
    <w:p w14:paraId="1F377AEC" w14:textId="77777777" w:rsidR="000A6AE8" w:rsidRDefault="000A6AE8" w:rsidP="000A6AE8">
      <w:pPr>
        <w:pStyle w:val="Prrafodelista"/>
        <w:numPr>
          <w:ilvl w:val="0"/>
          <w:numId w:val="1"/>
        </w:numPr>
        <w:rPr>
          <w:rStyle w:val="Hipervnculo"/>
          <w:color w:val="auto"/>
          <w:u w:val="none"/>
        </w:rPr>
      </w:pPr>
      <w:r>
        <w:rPr>
          <w:rStyle w:val="Hipervnculo"/>
          <w:color w:val="auto"/>
          <w:u w:val="none"/>
        </w:rPr>
        <w:t>M</w:t>
      </w:r>
      <w:r w:rsidRPr="004C7B2C">
        <w:rPr>
          <w:rStyle w:val="Hipervnculo"/>
          <w:color w:val="auto"/>
          <w:u w:val="none"/>
        </w:rPr>
        <w:t xml:space="preserve">étodo para administrar un </w:t>
      </w:r>
      <w:proofErr w:type="spellStart"/>
      <w:r>
        <w:rPr>
          <w:rStyle w:val="Hipervnculo"/>
          <w:color w:val="auto"/>
          <w:u w:val="none"/>
        </w:rPr>
        <w:t>siRNA</w:t>
      </w:r>
      <w:proofErr w:type="spellEnd"/>
      <w:r w:rsidRPr="004C7B2C">
        <w:rPr>
          <w:rStyle w:val="Hipervnculo"/>
          <w:color w:val="auto"/>
          <w:u w:val="none"/>
        </w:rPr>
        <w:t xml:space="preserve"> a una célula diana, comprendiendo dicho método:</w:t>
      </w:r>
    </w:p>
    <w:p w14:paraId="2E73859B" w14:textId="77777777" w:rsidR="000A6AE8" w:rsidRPr="004C7B2C" w:rsidRDefault="000A6AE8" w:rsidP="000A6AE8">
      <w:pPr>
        <w:ind w:left="360"/>
        <w:rPr>
          <w:rStyle w:val="Hipervnculo"/>
          <w:color w:val="auto"/>
          <w:u w:val="none"/>
        </w:rPr>
      </w:pPr>
      <w:r>
        <w:rPr>
          <w:rStyle w:val="Hipervnculo"/>
          <w:color w:val="auto"/>
          <w:u w:val="none"/>
        </w:rPr>
        <w:t xml:space="preserve">Resultado:  </w:t>
      </w:r>
      <w:r w:rsidRPr="004C7B2C">
        <w:rPr>
          <w:rStyle w:val="Hipervnculo"/>
          <w:color w:val="auto"/>
          <w:u w:val="none"/>
        </w:rPr>
        <w:t>proporcionar un complejo según la invención y</w:t>
      </w:r>
      <w:r>
        <w:rPr>
          <w:rStyle w:val="Hipervnculo"/>
          <w:color w:val="auto"/>
          <w:u w:val="none"/>
        </w:rPr>
        <w:t xml:space="preserve"> </w:t>
      </w:r>
      <w:r w:rsidRPr="004C7B2C">
        <w:rPr>
          <w:rStyle w:val="Hipervnculo"/>
          <w:color w:val="auto"/>
          <w:u w:val="none"/>
        </w:rPr>
        <w:t>poner en contacto una célula diana con dicho complejo.</w:t>
      </w:r>
    </w:p>
    <w:p w14:paraId="20D944EE" w14:textId="77777777" w:rsidR="000A6AE8" w:rsidRPr="004C7B2C" w:rsidRDefault="000A6AE8" w:rsidP="000A6AE8">
      <w:pPr>
        <w:ind w:left="360"/>
        <w:rPr>
          <w:rStyle w:val="Hipervnculo"/>
          <w:color w:val="auto"/>
          <w:u w:val="none"/>
        </w:rPr>
      </w:pPr>
      <w:r>
        <w:rPr>
          <w:rStyle w:val="Hipervnculo"/>
          <w:color w:val="auto"/>
          <w:u w:val="none"/>
        </w:rPr>
        <w:t>Resultado: A</w:t>
      </w:r>
      <w:r w:rsidRPr="004C7B2C">
        <w:rPr>
          <w:rStyle w:val="Hipervnculo"/>
          <w:color w:val="auto"/>
          <w:u w:val="none"/>
        </w:rPr>
        <w:t>dministrar al mamífero una cantidad de un complejo como se define anteriormente suficiente para silenciar dicho ARNm anormal para prevenir o tratar de ese modo la enfermedad correspondiente.</w:t>
      </w:r>
    </w:p>
    <w:p w14:paraId="4A362C16" w14:textId="77777777" w:rsidR="000A6AE8" w:rsidRDefault="000A6AE8" w:rsidP="000A6AE8">
      <w:pPr>
        <w:ind w:left="360"/>
        <w:rPr>
          <w:rStyle w:val="Hipervnculo"/>
          <w:b/>
          <w:bCs/>
          <w:color w:val="auto"/>
          <w:u w:val="none"/>
        </w:rPr>
      </w:pPr>
      <w:r w:rsidRPr="001C7E49">
        <w:rPr>
          <w:rStyle w:val="Hipervnculo"/>
          <w:b/>
          <w:bCs/>
          <w:color w:val="auto"/>
          <w:u w:val="none"/>
        </w:rPr>
        <w:t>Importante</w:t>
      </w:r>
      <w:r>
        <w:rPr>
          <w:rStyle w:val="Hipervnculo"/>
          <w:b/>
          <w:bCs/>
          <w:color w:val="auto"/>
          <w:u w:val="none"/>
        </w:rPr>
        <w:t xml:space="preserve"> a</w:t>
      </w:r>
      <w:r w:rsidRPr="001C7E49">
        <w:rPr>
          <w:rStyle w:val="Hipervnculo"/>
          <w:b/>
          <w:bCs/>
          <w:color w:val="auto"/>
          <w:u w:val="none"/>
        </w:rPr>
        <w:t xml:space="preserve"> destacar:</w:t>
      </w:r>
    </w:p>
    <w:p w14:paraId="1B4628BA" w14:textId="77777777" w:rsidR="000A6AE8" w:rsidRPr="00E475C1" w:rsidRDefault="000A6AE8" w:rsidP="000A6AE8">
      <w:pPr>
        <w:pStyle w:val="Prrafodelista"/>
        <w:numPr>
          <w:ilvl w:val="0"/>
          <w:numId w:val="3"/>
        </w:numPr>
        <w:rPr>
          <w:rStyle w:val="Hipervnculo"/>
          <w:color w:val="auto"/>
          <w:u w:val="none"/>
        </w:rPr>
      </w:pPr>
      <w:r w:rsidRPr="00E475C1">
        <w:rPr>
          <w:rStyle w:val="Hipervnculo"/>
          <w:color w:val="auto"/>
          <w:u w:val="none"/>
        </w:rPr>
        <w:t xml:space="preserve">La administración de </w:t>
      </w:r>
      <w:proofErr w:type="spellStart"/>
      <w:r w:rsidRPr="00E475C1">
        <w:rPr>
          <w:rStyle w:val="Hipervnculo"/>
          <w:color w:val="auto"/>
          <w:u w:val="none"/>
        </w:rPr>
        <w:t>siRNA</w:t>
      </w:r>
      <w:proofErr w:type="spellEnd"/>
      <w:r w:rsidRPr="00E475C1">
        <w:rPr>
          <w:rStyle w:val="Hipervnculo"/>
          <w:color w:val="auto"/>
          <w:u w:val="none"/>
        </w:rPr>
        <w:t xml:space="preserve"> tanto por MPG como por su mutante NLS permite una regulación negativa sólida del ARNm objetivo. Sin embargo, el mutante NLS induce una liberación rápida del </w:t>
      </w:r>
      <w:proofErr w:type="spellStart"/>
      <w:r w:rsidRPr="00E475C1">
        <w:rPr>
          <w:rStyle w:val="Hipervnculo"/>
          <w:color w:val="auto"/>
          <w:u w:val="none"/>
        </w:rPr>
        <w:t>siRNA</w:t>
      </w:r>
      <w:proofErr w:type="spellEnd"/>
      <w:r w:rsidRPr="00E475C1">
        <w:rPr>
          <w:rStyle w:val="Hipervnculo"/>
          <w:color w:val="auto"/>
          <w:u w:val="none"/>
        </w:rPr>
        <w:t xml:space="preserve"> en el citoplasma, y </w:t>
      </w:r>
      <w:r w:rsidRPr="00E475C1">
        <w:rPr>
          <w:rStyle w:val="Hipervnculo"/>
          <w:rFonts w:ascii="Arial" w:hAnsi="Arial" w:cs="Arial"/>
          <w:color w:val="auto"/>
          <w:u w:val="none"/>
        </w:rPr>
        <w:t>​​</w:t>
      </w:r>
      <w:r w:rsidRPr="00E475C1">
        <w:rPr>
          <w:rStyle w:val="Hipervnculo"/>
          <w:color w:val="auto"/>
          <w:u w:val="none"/>
        </w:rPr>
        <w:t>esto se correlaciona con una respuesta biol</w:t>
      </w:r>
      <w:r w:rsidRPr="00E475C1">
        <w:rPr>
          <w:rStyle w:val="Hipervnculo"/>
          <w:rFonts w:ascii="Aptos" w:hAnsi="Aptos" w:cs="Aptos"/>
          <w:color w:val="auto"/>
          <w:u w:val="none"/>
        </w:rPr>
        <w:t>ó</w:t>
      </w:r>
      <w:r w:rsidRPr="00E475C1">
        <w:rPr>
          <w:rStyle w:val="Hipervnculo"/>
          <w:color w:val="auto"/>
          <w:u w:val="none"/>
        </w:rPr>
        <w:t>gica m</w:t>
      </w:r>
      <w:r w:rsidRPr="00E475C1">
        <w:rPr>
          <w:rStyle w:val="Hipervnculo"/>
          <w:rFonts w:ascii="Aptos" w:hAnsi="Aptos" w:cs="Aptos"/>
          <w:color w:val="auto"/>
          <w:u w:val="none"/>
        </w:rPr>
        <w:t>á</w:t>
      </w:r>
      <w:r w:rsidRPr="00E475C1">
        <w:rPr>
          <w:rStyle w:val="Hipervnculo"/>
          <w:color w:val="auto"/>
          <w:u w:val="none"/>
        </w:rPr>
        <w:t>s significativa.</w:t>
      </w:r>
    </w:p>
    <w:p w14:paraId="6D952E26" w14:textId="77777777" w:rsidR="000A6AE8" w:rsidRDefault="000A6AE8" w:rsidP="000A6AE8">
      <w:pPr>
        <w:pStyle w:val="Prrafodelista"/>
        <w:numPr>
          <w:ilvl w:val="0"/>
          <w:numId w:val="3"/>
        </w:numPr>
        <w:rPr>
          <w:rStyle w:val="Hipervnculo"/>
          <w:color w:val="auto"/>
          <w:u w:val="none"/>
        </w:rPr>
      </w:pPr>
      <w:r w:rsidRPr="004C7B2C">
        <w:rPr>
          <w:rStyle w:val="Hipervnculo"/>
          <w:color w:val="auto"/>
          <w:u w:val="none"/>
        </w:rPr>
        <w:t>Los complejos y composiciones tienen aplicaciones como:</w:t>
      </w:r>
    </w:p>
    <w:p w14:paraId="0F186C0E" w14:textId="77777777" w:rsidR="000A6AE8" w:rsidRPr="004C7B2C" w:rsidRDefault="000A6AE8" w:rsidP="000A6AE8">
      <w:pPr>
        <w:pStyle w:val="Prrafodelista"/>
        <w:numPr>
          <w:ilvl w:val="1"/>
          <w:numId w:val="4"/>
        </w:numPr>
        <w:rPr>
          <w:rStyle w:val="Hipervnculo"/>
          <w:color w:val="auto"/>
          <w:u w:val="none"/>
        </w:rPr>
      </w:pPr>
      <w:r w:rsidRPr="004C7B2C">
        <w:rPr>
          <w:rStyle w:val="Hipervnculo"/>
          <w:color w:val="auto"/>
          <w:u w:val="none"/>
        </w:rPr>
        <w:t>En terapia genética humana y animal, en particular en enfermedades hereditarias</w:t>
      </w:r>
    </w:p>
    <w:p w14:paraId="36F61F7E" w14:textId="77777777" w:rsidR="000A6AE8" w:rsidRPr="004C7B2C" w:rsidRDefault="000A6AE8" w:rsidP="000A6AE8">
      <w:pPr>
        <w:pStyle w:val="Prrafodelista"/>
        <w:numPr>
          <w:ilvl w:val="1"/>
          <w:numId w:val="4"/>
        </w:numPr>
        <w:rPr>
          <w:rStyle w:val="Hipervnculo"/>
          <w:color w:val="auto"/>
          <w:u w:val="none"/>
        </w:rPr>
      </w:pPr>
      <w:r w:rsidRPr="004C7B2C">
        <w:rPr>
          <w:rStyle w:val="Hipervnculo"/>
          <w:color w:val="auto"/>
          <w:u w:val="none"/>
        </w:rPr>
        <w:t>como agentes antivirales</w:t>
      </w:r>
    </w:p>
    <w:p w14:paraId="1B22E66A" w14:textId="77777777" w:rsidR="000A6AE8" w:rsidRPr="004C7B2C" w:rsidRDefault="000A6AE8" w:rsidP="000A6AE8">
      <w:pPr>
        <w:pStyle w:val="Prrafodelista"/>
        <w:numPr>
          <w:ilvl w:val="1"/>
          <w:numId w:val="4"/>
        </w:numPr>
        <w:rPr>
          <w:rStyle w:val="Hipervnculo"/>
          <w:color w:val="auto"/>
          <w:u w:val="none"/>
        </w:rPr>
      </w:pPr>
      <w:r w:rsidRPr="004C7B2C">
        <w:rPr>
          <w:rStyle w:val="Hipervnculo"/>
          <w:color w:val="auto"/>
          <w:u w:val="none"/>
        </w:rPr>
        <w:t>como agentes anticancerígenos</w:t>
      </w:r>
    </w:p>
    <w:p w14:paraId="24EE287B" w14:textId="77777777" w:rsidR="000A6AE8" w:rsidRPr="004C7B2C" w:rsidRDefault="000A6AE8" w:rsidP="000A6AE8">
      <w:pPr>
        <w:pStyle w:val="Prrafodelista"/>
        <w:numPr>
          <w:ilvl w:val="1"/>
          <w:numId w:val="4"/>
        </w:numPr>
        <w:rPr>
          <w:rStyle w:val="Hipervnculo"/>
          <w:color w:val="auto"/>
          <w:u w:val="none"/>
        </w:rPr>
      </w:pPr>
      <w:r w:rsidRPr="004C7B2C">
        <w:rPr>
          <w:rStyle w:val="Hipervnculo"/>
          <w:color w:val="auto"/>
          <w:u w:val="none"/>
        </w:rPr>
        <w:t>como inhibidores en condiciones donde hay una sobreexpresión de una</w:t>
      </w:r>
      <w:r>
        <w:rPr>
          <w:rStyle w:val="Hipervnculo"/>
          <w:color w:val="auto"/>
          <w:u w:val="none"/>
        </w:rPr>
        <w:t xml:space="preserve"> </w:t>
      </w:r>
      <w:r w:rsidRPr="004C7B2C">
        <w:rPr>
          <w:rStyle w:val="Hipervnculo"/>
          <w:color w:val="auto"/>
          <w:u w:val="none"/>
        </w:rPr>
        <w:t>sustancia biológica, que conduce a un estado patológico.</w:t>
      </w:r>
    </w:p>
    <w:p w14:paraId="5F93C475" w14:textId="56610F24" w:rsidR="000A6AE8" w:rsidRDefault="000A6AE8" w:rsidP="000A6AE8">
      <w:pPr>
        <w:ind w:left="360"/>
        <w:rPr>
          <w:rStyle w:val="Hipervnculo"/>
          <w:b/>
          <w:bCs/>
          <w:color w:val="auto"/>
          <w:u w:val="none"/>
        </w:rPr>
      </w:pPr>
      <w:r w:rsidRPr="00C419A6">
        <w:rPr>
          <w:rStyle w:val="Hipervnculo"/>
          <w:b/>
          <w:bCs/>
          <w:color w:val="auto"/>
          <w:u w:val="none"/>
        </w:rPr>
        <w:lastRenderedPageBreak/>
        <w:t>Ejemplos</w:t>
      </w:r>
      <w:r w:rsidR="00DD5BC1">
        <w:rPr>
          <w:rStyle w:val="Hipervnculo"/>
          <w:b/>
          <w:bCs/>
          <w:color w:val="auto"/>
          <w:u w:val="none"/>
        </w:rPr>
        <w:t>-</w:t>
      </w:r>
      <w:r w:rsidR="00DA3521">
        <w:rPr>
          <w:rStyle w:val="Hipervnculo"/>
          <w:b/>
          <w:bCs/>
          <w:color w:val="auto"/>
          <w:u w:val="none"/>
        </w:rPr>
        <w:t>Metodología</w:t>
      </w:r>
      <w:r w:rsidR="000271C8">
        <w:rPr>
          <w:rStyle w:val="Hipervnculo"/>
          <w:b/>
          <w:bCs/>
          <w:color w:val="auto"/>
          <w:u w:val="none"/>
        </w:rPr>
        <w:t>-Resultados</w:t>
      </w:r>
    </w:p>
    <w:p w14:paraId="711D7035" w14:textId="46B659A1" w:rsidR="00DD5BC1" w:rsidRPr="00DA3521" w:rsidRDefault="00DD5BC1" w:rsidP="00DD5BC1">
      <w:pPr>
        <w:pStyle w:val="Prrafodelista"/>
        <w:numPr>
          <w:ilvl w:val="0"/>
          <w:numId w:val="5"/>
        </w:numPr>
        <w:rPr>
          <w:b/>
          <w:bCs/>
          <w:sz w:val="28"/>
          <w:szCs w:val="28"/>
        </w:rPr>
      </w:pPr>
      <w:r w:rsidRPr="00DA3521">
        <w:rPr>
          <w:rFonts w:ascii="Roboto" w:hAnsi="Roboto"/>
          <w:b/>
          <w:bCs/>
          <w:color w:val="333333"/>
          <w:sz w:val="24"/>
          <w:szCs w:val="24"/>
          <w:shd w:val="clear" w:color="auto" w:fill="FFFFFF"/>
        </w:rPr>
        <w:t>Síntesis y análisis de péptidos.</w:t>
      </w:r>
    </w:p>
    <w:p w14:paraId="1B07AC2D" w14:textId="18CD7CB7" w:rsidR="00DD5BC1" w:rsidRDefault="004E70F6" w:rsidP="00DD5BC1">
      <w:pPr>
        <w:pStyle w:val="Prrafodelista"/>
        <w:rPr>
          <w:rStyle w:val="Hipervnculo"/>
          <w:b/>
          <w:bCs/>
          <w:color w:val="auto"/>
          <w:u w:val="none"/>
        </w:rPr>
      </w:pPr>
      <w:r w:rsidRPr="004E70F6">
        <w:rPr>
          <w:rStyle w:val="Hipervnculo"/>
          <w:b/>
          <w:bCs/>
          <w:noProof/>
          <w:color w:val="auto"/>
          <w:u w:val="none"/>
        </w:rPr>
        <w:drawing>
          <wp:inline distT="0" distB="0" distL="0" distR="0" wp14:anchorId="1E3632A1" wp14:editId="5956E556">
            <wp:extent cx="5128260" cy="3451860"/>
            <wp:effectExtent l="0" t="0" r="0" b="0"/>
            <wp:docPr id="20745484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48448" name="Imagen 1" descr="Diagrama&#10;&#10;Descripción generada automáticamente"/>
                    <pic:cNvPicPr/>
                  </pic:nvPicPr>
                  <pic:blipFill rotWithShape="1">
                    <a:blip r:embed="rId6"/>
                    <a:srcRect l="2258" t="2129" r="2775" b="1385"/>
                    <a:stretch/>
                  </pic:blipFill>
                  <pic:spPr bwMode="auto">
                    <a:xfrm>
                      <a:off x="0" y="0"/>
                      <a:ext cx="5128260" cy="3451860"/>
                    </a:xfrm>
                    <a:prstGeom prst="rect">
                      <a:avLst/>
                    </a:prstGeom>
                    <a:ln>
                      <a:noFill/>
                    </a:ln>
                    <a:extLst>
                      <a:ext uri="{53640926-AAD7-44D8-BBD7-CCE9431645EC}">
                        <a14:shadowObscured xmlns:a14="http://schemas.microsoft.com/office/drawing/2010/main"/>
                      </a:ext>
                    </a:extLst>
                  </pic:spPr>
                </pic:pic>
              </a:graphicData>
            </a:graphic>
          </wp:inline>
        </w:drawing>
      </w:r>
    </w:p>
    <w:p w14:paraId="0795BB92" w14:textId="1E321A10" w:rsidR="004E70F6" w:rsidRDefault="004E70F6" w:rsidP="00DD5BC1">
      <w:pPr>
        <w:pStyle w:val="Prrafodelista"/>
        <w:rPr>
          <w:rStyle w:val="Hipervnculo"/>
          <w:color w:val="auto"/>
          <w:u w:val="none"/>
        </w:rPr>
      </w:pPr>
      <w:r w:rsidRPr="004E70F6">
        <w:rPr>
          <w:rStyle w:val="Hipervnculo"/>
          <w:color w:val="auto"/>
          <w:u w:val="none"/>
        </w:rPr>
        <w:t xml:space="preserve">Entrega de genes mediada por MPG en presencia de inhibidores de la vía </w:t>
      </w:r>
      <w:proofErr w:type="spellStart"/>
      <w:r w:rsidRPr="004E70F6">
        <w:rPr>
          <w:rStyle w:val="Hipervnculo"/>
          <w:color w:val="auto"/>
          <w:u w:val="none"/>
        </w:rPr>
        <w:t>endosómica</w:t>
      </w:r>
      <w:proofErr w:type="spellEnd"/>
      <w:r w:rsidRPr="004E70F6">
        <w:rPr>
          <w:rStyle w:val="Hipervnculo"/>
          <w:color w:val="auto"/>
          <w:u w:val="none"/>
        </w:rPr>
        <w:t>.</w:t>
      </w:r>
    </w:p>
    <w:p w14:paraId="46F79A5D" w14:textId="2A91DDBB" w:rsidR="004E70F6" w:rsidRDefault="004E70F6" w:rsidP="00DD5BC1">
      <w:pPr>
        <w:pStyle w:val="Prrafodelista"/>
        <w:rPr>
          <w:rStyle w:val="Hipervnculo"/>
          <w:color w:val="auto"/>
          <w:u w:val="none"/>
        </w:rPr>
      </w:pPr>
      <w:r w:rsidRPr="004E70F6">
        <w:rPr>
          <w:rStyle w:val="Hipervnculo"/>
          <w:color w:val="auto"/>
          <w:u w:val="none"/>
        </w:rPr>
        <w:t xml:space="preserve">Los complejos </w:t>
      </w:r>
      <w:r w:rsidRPr="004E70F6">
        <w:rPr>
          <w:rStyle w:val="Hipervnculo"/>
          <w:color w:val="auto"/>
          <w:highlight w:val="yellow"/>
        </w:rPr>
        <w:t>A</w:t>
      </w:r>
      <w:r w:rsidRPr="004E70F6">
        <w:rPr>
          <w:rStyle w:val="Hipervnculo"/>
          <w:color w:val="auto"/>
          <w:u w:val="none"/>
        </w:rPr>
        <w:t xml:space="preserve">/MPG/ADN formados con una relación de carga de 5/1 con 100 ng de plásmido pRL-SV40 que codifica el gen indicador </w:t>
      </w:r>
      <w:proofErr w:type="spellStart"/>
      <w:proofErr w:type="gramStart"/>
      <w:r w:rsidRPr="004E70F6">
        <w:rPr>
          <w:rStyle w:val="Hipervnculo"/>
          <w:color w:val="auto"/>
          <w:u w:val="none"/>
        </w:rPr>
        <w:t>luciferasa</w:t>
      </w:r>
      <w:proofErr w:type="spellEnd"/>
      <w:r>
        <w:rPr>
          <w:rStyle w:val="Hipervnculo"/>
          <w:color w:val="auto"/>
          <w:u w:val="none"/>
        </w:rPr>
        <w:t>(</w:t>
      </w:r>
      <w:proofErr w:type="gramEnd"/>
      <w:r w:rsidRPr="004E70F6">
        <w:rPr>
          <w:rStyle w:val="Hipervnculo"/>
          <w:color w:val="auto"/>
          <w:u w:val="none"/>
        </w:rPr>
        <w:t xml:space="preserve">utiliza la enzima </w:t>
      </w:r>
      <w:proofErr w:type="spellStart"/>
      <w:r w:rsidRPr="004E70F6">
        <w:rPr>
          <w:rStyle w:val="Hipervnculo"/>
          <w:color w:val="auto"/>
          <w:u w:val="none"/>
        </w:rPr>
        <w:t>luciferasa</w:t>
      </w:r>
      <w:proofErr w:type="spellEnd"/>
      <w:r w:rsidRPr="004E70F6">
        <w:rPr>
          <w:rStyle w:val="Hipervnculo"/>
          <w:color w:val="auto"/>
          <w:u w:val="none"/>
        </w:rPr>
        <w:t xml:space="preserve"> y un </w:t>
      </w:r>
      <w:r w:rsidRPr="004E70F6">
        <w:rPr>
          <w:rStyle w:val="Hipervnculo"/>
          <w:color w:val="auto"/>
          <w:highlight w:val="green"/>
          <w:u w:val="none"/>
        </w:rPr>
        <w:t>sustrato</w:t>
      </w:r>
      <w:r w:rsidRPr="004E70F6">
        <w:rPr>
          <w:rStyle w:val="Hipervnculo"/>
          <w:color w:val="auto"/>
          <w:u w:val="none"/>
        </w:rPr>
        <w:t xml:space="preserve"> para estudiar la regulación génica a nivel de transcripción</w:t>
      </w:r>
      <w:r>
        <w:rPr>
          <w:rStyle w:val="Hipervnculo"/>
          <w:color w:val="auto"/>
          <w:u w:val="none"/>
        </w:rPr>
        <w:t>)</w:t>
      </w:r>
      <w:r w:rsidRPr="004E70F6">
        <w:rPr>
          <w:rStyle w:val="Hipervnculo"/>
          <w:color w:val="auto"/>
          <w:u w:val="none"/>
        </w:rPr>
        <w:t xml:space="preserve"> se superpusieron a fibroblastos humanos (Hs68) en presencia de </w:t>
      </w:r>
      <w:proofErr w:type="spellStart"/>
      <w:r w:rsidRPr="004E70F6">
        <w:rPr>
          <w:rStyle w:val="Hipervnculo"/>
          <w:color w:val="auto"/>
          <w:u w:val="none"/>
        </w:rPr>
        <w:t>bafilomicina</w:t>
      </w:r>
      <w:proofErr w:type="spellEnd"/>
      <w:r w:rsidRPr="004E70F6">
        <w:rPr>
          <w:rStyle w:val="Hipervnculo"/>
          <w:color w:val="auto"/>
          <w:u w:val="none"/>
        </w:rPr>
        <w:t xml:space="preserve"> A (</w:t>
      </w:r>
      <w:proofErr w:type="spellStart"/>
      <w:r w:rsidRPr="004E70F6">
        <w:rPr>
          <w:rStyle w:val="Hipervnculo"/>
          <w:color w:val="auto"/>
          <w:u w:val="none"/>
        </w:rPr>
        <w:t>Baf</w:t>
      </w:r>
      <w:proofErr w:type="spellEnd"/>
      <w:r w:rsidRPr="004E70F6">
        <w:rPr>
          <w:rStyle w:val="Hipervnculo"/>
          <w:color w:val="auto"/>
          <w:u w:val="none"/>
        </w:rPr>
        <w:t xml:space="preserve">-A: 150 </w:t>
      </w:r>
      <w:proofErr w:type="spellStart"/>
      <w:r w:rsidRPr="004E70F6">
        <w:rPr>
          <w:rStyle w:val="Hipervnculo"/>
          <w:color w:val="auto"/>
          <w:u w:val="none"/>
        </w:rPr>
        <w:t>nM</w:t>
      </w:r>
      <w:proofErr w:type="spellEnd"/>
      <w:r w:rsidRPr="004E70F6">
        <w:rPr>
          <w:rStyle w:val="Hipervnculo"/>
          <w:color w:val="auto"/>
          <w:u w:val="none"/>
        </w:rPr>
        <w:t>). , citocalasina B (</w:t>
      </w:r>
      <w:proofErr w:type="spellStart"/>
      <w:r w:rsidRPr="004E70F6">
        <w:rPr>
          <w:rStyle w:val="Hipervnculo"/>
          <w:color w:val="auto"/>
          <w:u w:val="none"/>
        </w:rPr>
        <w:t>Cy</w:t>
      </w:r>
      <w:proofErr w:type="spellEnd"/>
      <w:r w:rsidRPr="004E70F6">
        <w:rPr>
          <w:rStyle w:val="Hipervnculo"/>
          <w:color w:val="auto"/>
          <w:u w:val="none"/>
        </w:rPr>
        <w:t>-B: 50 μg/ml) o cloroquina (</w:t>
      </w:r>
      <w:proofErr w:type="spellStart"/>
      <w:r w:rsidRPr="004E70F6">
        <w:rPr>
          <w:rStyle w:val="Hipervnculo"/>
          <w:color w:val="auto"/>
          <w:u w:val="none"/>
        </w:rPr>
        <w:t>Chl</w:t>
      </w:r>
      <w:proofErr w:type="spellEnd"/>
      <w:r w:rsidRPr="004E70F6">
        <w:rPr>
          <w:rStyle w:val="Hipervnculo"/>
          <w:color w:val="auto"/>
          <w:u w:val="none"/>
        </w:rPr>
        <w:t xml:space="preserve">: 100 </w:t>
      </w:r>
      <w:proofErr w:type="spellStart"/>
      <w:r w:rsidRPr="004E70F6">
        <w:rPr>
          <w:rStyle w:val="Hipervnculo"/>
          <w:color w:val="auto"/>
          <w:u w:val="none"/>
        </w:rPr>
        <w:t>μM</w:t>
      </w:r>
      <w:proofErr w:type="spellEnd"/>
      <w:r w:rsidRPr="004E70F6">
        <w:rPr>
          <w:rStyle w:val="Hipervnculo"/>
          <w:color w:val="auto"/>
          <w:u w:val="none"/>
        </w:rPr>
        <w:t>).</w:t>
      </w:r>
    </w:p>
    <w:p w14:paraId="600DE2EC" w14:textId="6E1C4D40" w:rsidR="00500A63" w:rsidRPr="00500A63" w:rsidRDefault="00500A63" w:rsidP="00DD5BC1">
      <w:pPr>
        <w:pStyle w:val="Prrafodelista"/>
        <w:rPr>
          <w:rStyle w:val="Hipervnculo"/>
          <w:b/>
          <w:bCs/>
          <w:color w:val="auto"/>
          <w:u w:val="none"/>
        </w:rPr>
      </w:pPr>
      <w:r w:rsidRPr="00500A63">
        <w:rPr>
          <w:rStyle w:val="Hipervnculo"/>
          <w:b/>
          <w:bCs/>
          <w:color w:val="auto"/>
          <w:u w:val="none"/>
        </w:rPr>
        <w:t>Parte A</w:t>
      </w:r>
    </w:p>
    <w:p w14:paraId="5F403821" w14:textId="19C1B659" w:rsidR="004E70F6" w:rsidRDefault="004E70F6" w:rsidP="00DD5BC1">
      <w:pPr>
        <w:pStyle w:val="Prrafodelista"/>
        <w:rPr>
          <w:rStyle w:val="Hipervnculo"/>
          <w:color w:val="auto"/>
          <w:u w:val="none"/>
        </w:rPr>
      </w:pPr>
      <w:r>
        <w:rPr>
          <w:rStyle w:val="Hipervnculo"/>
          <w:color w:val="auto"/>
          <w:u w:val="none"/>
        </w:rPr>
        <w:t xml:space="preserve">Luego de 48h </w:t>
      </w:r>
      <w:r w:rsidRPr="004E70F6">
        <w:rPr>
          <w:rStyle w:val="Hipervnculo"/>
          <w:color w:val="auto"/>
          <w:u w:val="none"/>
        </w:rPr>
        <w:t xml:space="preserve">se midió la actividad </w:t>
      </w:r>
      <w:proofErr w:type="spellStart"/>
      <w:r w:rsidRPr="004E70F6">
        <w:rPr>
          <w:rStyle w:val="Hipervnculo"/>
          <w:color w:val="auto"/>
          <w:u w:val="none"/>
        </w:rPr>
        <w:t>luciferasa</w:t>
      </w:r>
      <w:proofErr w:type="spellEnd"/>
    </w:p>
    <w:p w14:paraId="59474C88" w14:textId="302630C1" w:rsidR="004E70F6" w:rsidRDefault="004E70F6" w:rsidP="00DD5BC1">
      <w:pPr>
        <w:pStyle w:val="Prrafodelista"/>
        <w:rPr>
          <w:rStyle w:val="Hipervnculo"/>
          <w:color w:val="auto"/>
          <w:u w:val="none"/>
        </w:rPr>
      </w:pPr>
      <w:r>
        <w:rPr>
          <w:rStyle w:val="Hipervnculo"/>
          <w:color w:val="auto"/>
          <w:u w:val="none"/>
        </w:rPr>
        <w:t>Proteína total(negro).</w:t>
      </w:r>
    </w:p>
    <w:p w14:paraId="01DCD5EA" w14:textId="627EA8FF" w:rsidR="004E70F6" w:rsidRPr="004E70F6" w:rsidRDefault="004E70F6" w:rsidP="00DD5BC1">
      <w:pPr>
        <w:pStyle w:val="Prrafodelista"/>
        <w:rPr>
          <w:rStyle w:val="Hipervnculo"/>
          <w:color w:val="auto"/>
          <w:u w:val="none"/>
        </w:rPr>
      </w:pPr>
      <w:r>
        <w:rPr>
          <w:rStyle w:val="Hipervnculo"/>
          <w:color w:val="auto"/>
          <w:u w:val="none"/>
        </w:rPr>
        <w:t>S</w:t>
      </w:r>
      <w:r w:rsidRPr="004E70F6">
        <w:rPr>
          <w:rStyle w:val="Hipervnculo"/>
          <w:color w:val="auto"/>
          <w:u w:val="none"/>
        </w:rPr>
        <w:t xml:space="preserve">istema de administración basado en lípidos, </w:t>
      </w:r>
      <w:proofErr w:type="spellStart"/>
      <w:r w:rsidRPr="004E70F6">
        <w:rPr>
          <w:rStyle w:val="Hipervnculo"/>
          <w:color w:val="auto"/>
          <w:u w:val="none"/>
        </w:rPr>
        <w:t>Lipofectamine</w:t>
      </w:r>
      <w:proofErr w:type="spellEnd"/>
      <w:r w:rsidRPr="004E70F6">
        <w:rPr>
          <w:rStyle w:val="Hipervnculo"/>
          <w:color w:val="auto"/>
          <w:u w:val="none"/>
        </w:rPr>
        <w:t>™, como control (blanco).</w:t>
      </w:r>
    </w:p>
    <w:p w14:paraId="6C5AF1F4" w14:textId="55BE228E" w:rsidR="004E70F6" w:rsidRDefault="004E70F6" w:rsidP="00DD5BC1">
      <w:pPr>
        <w:pStyle w:val="Prrafodelista"/>
        <w:rPr>
          <w:rStyle w:val="Hipervnculo"/>
          <w:color w:val="auto"/>
          <w:u w:val="none"/>
        </w:rPr>
      </w:pPr>
      <w:r w:rsidRPr="004E70F6">
        <w:rPr>
          <w:rStyle w:val="Hipervnculo"/>
          <w:color w:val="auto"/>
          <w:u w:val="none"/>
        </w:rPr>
        <w:t xml:space="preserve">En ausencia de inhibidores utilizando un péptido MPG que carecía de un grupo </w:t>
      </w:r>
      <w:proofErr w:type="spellStart"/>
      <w:r w:rsidRPr="004E70F6">
        <w:rPr>
          <w:rStyle w:val="Hipervnculo"/>
          <w:color w:val="auto"/>
          <w:u w:val="none"/>
        </w:rPr>
        <w:t>cisteamida</w:t>
      </w:r>
      <w:proofErr w:type="spellEnd"/>
      <w:r w:rsidRPr="004E70F6">
        <w:rPr>
          <w:rStyle w:val="Hipervnculo"/>
          <w:color w:val="auto"/>
          <w:u w:val="none"/>
        </w:rPr>
        <w:t xml:space="preserve"> C-terminal (gris)</w:t>
      </w:r>
    </w:p>
    <w:p w14:paraId="18EB1DD4" w14:textId="3F563CA1" w:rsidR="00500A63" w:rsidRDefault="00500A63" w:rsidP="00DD5BC1">
      <w:pPr>
        <w:pStyle w:val="Prrafodelista"/>
        <w:rPr>
          <w:rStyle w:val="Hipervnculo"/>
          <w:b/>
          <w:bCs/>
          <w:color w:val="auto"/>
          <w:u w:val="none"/>
        </w:rPr>
      </w:pPr>
      <w:r>
        <w:rPr>
          <w:rStyle w:val="Hipervnculo"/>
          <w:b/>
          <w:bCs/>
          <w:color w:val="auto"/>
          <w:u w:val="none"/>
        </w:rPr>
        <w:t>Parte B</w:t>
      </w:r>
    </w:p>
    <w:p w14:paraId="0E410F5A" w14:textId="7A0C1022" w:rsidR="00DA3521" w:rsidRDefault="00DA3521" w:rsidP="00DD5BC1">
      <w:pPr>
        <w:pStyle w:val="Prrafodelista"/>
        <w:rPr>
          <w:rStyle w:val="Hipervnculo"/>
          <w:color w:val="auto"/>
          <w:u w:val="none"/>
        </w:rPr>
      </w:pPr>
      <w:r w:rsidRPr="00DA3521">
        <w:rPr>
          <w:rStyle w:val="Hipervnculo"/>
          <w:color w:val="auto"/>
          <w:u w:val="none"/>
        </w:rPr>
        <w:t xml:space="preserve">Luego se superpusieron los complejos sobre células Hela cultivadas en presencia de </w:t>
      </w:r>
      <w:proofErr w:type="spellStart"/>
      <w:r w:rsidRPr="00DA3521">
        <w:rPr>
          <w:rStyle w:val="Hipervnculo"/>
          <w:color w:val="auto"/>
          <w:u w:val="none"/>
        </w:rPr>
        <w:t>bafilomicina</w:t>
      </w:r>
      <w:proofErr w:type="spellEnd"/>
      <w:r w:rsidRPr="00DA3521">
        <w:rPr>
          <w:rStyle w:val="Hipervnculo"/>
          <w:color w:val="auto"/>
          <w:u w:val="none"/>
        </w:rPr>
        <w:t xml:space="preserve"> A (panel central) o citocalasina B (panel inferior) y se controló la localización celular del oligonucleótido mediante microscopía de fluorescencia en</w:t>
      </w:r>
      <w:r w:rsidR="0007585F">
        <w:rPr>
          <w:rStyle w:val="Hipervnculo"/>
          <w:color w:val="auto"/>
          <w:u w:val="none"/>
        </w:rPr>
        <w:t xml:space="preserve"> </w:t>
      </w:r>
      <w:r w:rsidRPr="00DA3521">
        <w:rPr>
          <w:rStyle w:val="Hipervnculo"/>
          <w:color w:val="auto"/>
          <w:u w:val="none"/>
        </w:rPr>
        <w:t>Células vivas1 hora después de la transfección.</w:t>
      </w:r>
      <w:r w:rsidR="0007585F">
        <w:rPr>
          <w:rStyle w:val="Hipervnculo"/>
          <w:color w:val="auto"/>
          <w:u w:val="none"/>
        </w:rPr>
        <w:t xml:space="preserve"> </w:t>
      </w:r>
      <w:r w:rsidR="0007585F" w:rsidRPr="0007585F">
        <w:rPr>
          <w:rStyle w:val="Hipervnculo"/>
          <w:color w:val="auto"/>
          <w:u w:val="none"/>
        </w:rPr>
        <w:t>En el panel superior se muestra un experimento de control con oligonucleótido libre.</w:t>
      </w:r>
    </w:p>
    <w:p w14:paraId="236B69A2" w14:textId="7D779C0B" w:rsidR="00DA3521" w:rsidRDefault="00DA3521" w:rsidP="00DD5BC1">
      <w:pPr>
        <w:pStyle w:val="Prrafodelista"/>
        <w:rPr>
          <w:rStyle w:val="Hipervnculo"/>
          <w:b/>
          <w:bCs/>
          <w:color w:val="auto"/>
          <w:u w:val="none"/>
        </w:rPr>
      </w:pPr>
      <w:r>
        <w:rPr>
          <w:rStyle w:val="Hipervnculo"/>
          <w:b/>
          <w:bCs/>
          <w:color w:val="auto"/>
          <w:u w:val="none"/>
        </w:rPr>
        <w:t xml:space="preserve">Metodología </w:t>
      </w:r>
    </w:p>
    <w:p w14:paraId="470E30B4" w14:textId="456AAF52" w:rsidR="00DA3521" w:rsidRDefault="00DA3521" w:rsidP="00DD5BC1">
      <w:pPr>
        <w:pStyle w:val="Prrafodelista"/>
        <w:rPr>
          <w:rStyle w:val="Hipervnculo"/>
          <w:color w:val="auto"/>
          <w:u w:val="none"/>
        </w:rPr>
      </w:pPr>
      <w:r>
        <w:rPr>
          <w:rStyle w:val="Hipervnculo"/>
          <w:color w:val="auto"/>
          <w:u w:val="none"/>
        </w:rPr>
        <w:t>P</w:t>
      </w:r>
      <w:r w:rsidRPr="00DA3521">
        <w:rPr>
          <w:rStyle w:val="Hipervnculo"/>
          <w:color w:val="auto"/>
          <w:u w:val="none"/>
        </w:rPr>
        <w:t>éptidos se sintetizaron mediante síntesis de péptidos en fase sólida</w:t>
      </w:r>
      <w:r>
        <w:rPr>
          <w:rStyle w:val="Hipervnculo"/>
          <w:color w:val="auto"/>
          <w:u w:val="none"/>
        </w:rPr>
        <w:t xml:space="preserve">, </w:t>
      </w:r>
      <w:r w:rsidRPr="00DA3521">
        <w:rPr>
          <w:rStyle w:val="Hipervnculo"/>
          <w:color w:val="auto"/>
          <w:u w:val="none"/>
        </w:rPr>
        <w:t xml:space="preserve">utilizando resina de </w:t>
      </w:r>
      <w:proofErr w:type="spellStart"/>
      <w:r w:rsidRPr="00DA3521">
        <w:rPr>
          <w:rStyle w:val="Hipervnculo"/>
          <w:color w:val="auto"/>
          <w:u w:val="none"/>
        </w:rPr>
        <w:t>expansina</w:t>
      </w:r>
      <w:proofErr w:type="spellEnd"/>
      <w:r w:rsidRPr="00DA3521">
        <w:rPr>
          <w:rStyle w:val="Hipervnculo"/>
          <w:color w:val="auto"/>
          <w:u w:val="none"/>
        </w:rPr>
        <w:t xml:space="preserve"> AEDI con un sintetizador Pep 9050</w:t>
      </w:r>
      <w:r>
        <w:rPr>
          <w:rStyle w:val="Hipervnculo"/>
          <w:color w:val="auto"/>
          <w:u w:val="none"/>
        </w:rPr>
        <w:t xml:space="preserve">, </w:t>
      </w:r>
      <w:r w:rsidRPr="00DA3521">
        <w:rPr>
          <w:rStyle w:val="Hipervnculo"/>
          <w:color w:val="auto"/>
          <w:u w:val="none"/>
        </w:rPr>
        <w:t xml:space="preserve">según el método </w:t>
      </w:r>
      <w:proofErr w:type="spellStart"/>
      <w:r w:rsidRPr="00DA3521">
        <w:rPr>
          <w:rStyle w:val="Hipervnculo"/>
          <w:color w:val="auto"/>
          <w:u w:val="none"/>
        </w:rPr>
        <w:t>Fmoc</w:t>
      </w:r>
      <w:proofErr w:type="spellEnd"/>
      <w:r w:rsidRPr="00DA3521">
        <w:rPr>
          <w:rStyle w:val="Hipervnculo"/>
          <w:color w:val="auto"/>
          <w:u w:val="none"/>
        </w:rPr>
        <w:t>/</w:t>
      </w:r>
      <w:proofErr w:type="spellStart"/>
      <w:r w:rsidRPr="00DA3521">
        <w:rPr>
          <w:rStyle w:val="Hipervnculo"/>
          <w:color w:val="auto"/>
          <w:u w:val="none"/>
        </w:rPr>
        <w:t>tBoc</w:t>
      </w:r>
      <w:proofErr w:type="spellEnd"/>
      <w:r w:rsidRPr="00DA3521">
        <w:rPr>
          <w:rStyle w:val="Hipervnculo"/>
          <w:color w:val="auto"/>
          <w:u w:val="none"/>
        </w:rPr>
        <w:t xml:space="preserve"> y se purificaron como se </w:t>
      </w:r>
      <w:r w:rsidRPr="00DA3521">
        <w:rPr>
          <w:rStyle w:val="Hipervnculo"/>
          <w:color w:val="auto"/>
          <w:highlight w:val="green"/>
          <w:u w:val="none"/>
        </w:rPr>
        <w:t>describió anteriormente</w:t>
      </w:r>
      <w:r>
        <w:rPr>
          <w:rStyle w:val="Hipervnculo"/>
          <w:color w:val="auto"/>
          <w:u w:val="none"/>
        </w:rPr>
        <w:t xml:space="preserve">, </w:t>
      </w:r>
      <w:r w:rsidRPr="00DA3521">
        <w:rPr>
          <w:rStyle w:val="Hipervnculo"/>
          <w:color w:val="auto"/>
          <w:u w:val="none"/>
        </w:rPr>
        <w:t xml:space="preserve">MPG y MPG ΔNLS se acetilaron en su extremo N y se sintetizaron con un grupo </w:t>
      </w:r>
      <w:proofErr w:type="spellStart"/>
      <w:r w:rsidRPr="00DA3521">
        <w:rPr>
          <w:rStyle w:val="Hipervnculo"/>
          <w:color w:val="auto"/>
          <w:u w:val="none"/>
        </w:rPr>
        <w:t>cisteamida</w:t>
      </w:r>
      <w:proofErr w:type="spellEnd"/>
      <w:r w:rsidRPr="00DA3521">
        <w:rPr>
          <w:rStyle w:val="Hipervnculo"/>
          <w:color w:val="auto"/>
          <w:u w:val="none"/>
        </w:rPr>
        <w:t xml:space="preserve"> en su extremo C.</w:t>
      </w:r>
    </w:p>
    <w:p w14:paraId="01136B53" w14:textId="0CCEB918" w:rsidR="00DA3521" w:rsidRDefault="00DA3521" w:rsidP="00DD5BC1">
      <w:pPr>
        <w:pStyle w:val="Prrafodelista"/>
        <w:rPr>
          <w:rStyle w:val="Hipervnculo"/>
          <w:color w:val="auto"/>
          <w:u w:val="none"/>
        </w:rPr>
      </w:pPr>
      <w:r w:rsidRPr="00DA3521">
        <w:rPr>
          <w:rStyle w:val="Hipervnculo"/>
          <w:noProof/>
          <w:color w:val="auto"/>
          <w:u w:val="none"/>
        </w:rPr>
        <w:lastRenderedPageBreak/>
        <w:drawing>
          <wp:inline distT="0" distB="0" distL="0" distR="0" wp14:anchorId="719F963F" wp14:editId="1253E880">
            <wp:extent cx="3177815" cy="579170"/>
            <wp:effectExtent l="0" t="0" r="3810" b="0"/>
            <wp:docPr id="98934363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43639" name="Imagen 1" descr="Texto, Carta&#10;&#10;Descripción generada automáticamente"/>
                    <pic:cNvPicPr/>
                  </pic:nvPicPr>
                  <pic:blipFill>
                    <a:blip r:embed="rId7"/>
                    <a:stretch>
                      <a:fillRect/>
                    </a:stretch>
                  </pic:blipFill>
                  <pic:spPr>
                    <a:xfrm>
                      <a:off x="0" y="0"/>
                      <a:ext cx="3177815" cy="579170"/>
                    </a:xfrm>
                    <a:prstGeom prst="rect">
                      <a:avLst/>
                    </a:prstGeom>
                  </pic:spPr>
                </pic:pic>
              </a:graphicData>
            </a:graphic>
          </wp:inline>
        </w:drawing>
      </w:r>
    </w:p>
    <w:p w14:paraId="2C7F46CF" w14:textId="47F43A4E" w:rsidR="00DA3521" w:rsidRDefault="00DA3521" w:rsidP="00DA3521">
      <w:pPr>
        <w:pStyle w:val="Prrafodelista"/>
        <w:numPr>
          <w:ilvl w:val="0"/>
          <w:numId w:val="5"/>
        </w:numPr>
        <w:rPr>
          <w:rStyle w:val="Hipervnculo"/>
          <w:b/>
          <w:bCs/>
          <w:color w:val="auto"/>
          <w:u w:val="none"/>
        </w:rPr>
      </w:pPr>
      <w:proofErr w:type="spellStart"/>
      <w:r w:rsidRPr="00DA3521">
        <w:rPr>
          <w:rStyle w:val="Hipervnculo"/>
          <w:b/>
          <w:bCs/>
          <w:color w:val="auto"/>
          <w:u w:val="none"/>
        </w:rPr>
        <w:t>siRNA</w:t>
      </w:r>
      <w:proofErr w:type="spellEnd"/>
      <w:r w:rsidRPr="00DA3521">
        <w:rPr>
          <w:rStyle w:val="Hipervnculo"/>
          <w:b/>
          <w:bCs/>
          <w:color w:val="auto"/>
          <w:u w:val="none"/>
        </w:rPr>
        <w:t xml:space="preserve"> mediado por MPG dirigido a la entrega de </w:t>
      </w:r>
      <w:proofErr w:type="spellStart"/>
      <w:r w:rsidRPr="00DA3521">
        <w:rPr>
          <w:rStyle w:val="Hipervnculo"/>
          <w:b/>
          <w:bCs/>
          <w:color w:val="auto"/>
          <w:u w:val="none"/>
        </w:rPr>
        <w:t>luciferasa</w:t>
      </w:r>
      <w:proofErr w:type="spellEnd"/>
    </w:p>
    <w:p w14:paraId="7CB4D3E2" w14:textId="77777777" w:rsidR="00B234FE" w:rsidRDefault="00B234FE" w:rsidP="00B234FE">
      <w:pPr>
        <w:pStyle w:val="Prrafodelista"/>
        <w:rPr>
          <w:rStyle w:val="Hipervnculo"/>
          <w:b/>
          <w:bCs/>
          <w:color w:val="auto"/>
          <w:u w:val="none"/>
        </w:rPr>
      </w:pPr>
    </w:p>
    <w:p w14:paraId="59879BB0" w14:textId="0A281D58" w:rsidR="000A6AE8" w:rsidRDefault="00B234FE" w:rsidP="00986528">
      <w:pPr>
        <w:pStyle w:val="Prrafodelista"/>
        <w:rPr>
          <w:rStyle w:val="Hipervnculo"/>
          <w:b/>
          <w:bCs/>
          <w:color w:val="auto"/>
          <w:u w:val="none"/>
        </w:rPr>
      </w:pPr>
      <w:r w:rsidRPr="00B234FE">
        <w:rPr>
          <w:rStyle w:val="Hipervnculo"/>
          <w:b/>
          <w:bCs/>
          <w:noProof/>
          <w:color w:val="auto"/>
          <w:u w:val="none"/>
        </w:rPr>
        <w:drawing>
          <wp:inline distT="0" distB="0" distL="0" distR="0" wp14:anchorId="734DCD49" wp14:editId="49A9C856">
            <wp:extent cx="5189220" cy="4671060"/>
            <wp:effectExtent l="0" t="0" r="0" b="0"/>
            <wp:docPr id="18045995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99548" name="Imagen 1" descr="Diagrama&#10;&#10;Descripción generada automáticamente"/>
                    <pic:cNvPicPr/>
                  </pic:nvPicPr>
                  <pic:blipFill rotWithShape="1">
                    <a:blip r:embed="rId8"/>
                    <a:srcRect l="1130" t="1890" r="2775" b="1562"/>
                    <a:stretch/>
                  </pic:blipFill>
                  <pic:spPr bwMode="auto">
                    <a:xfrm>
                      <a:off x="0" y="0"/>
                      <a:ext cx="5189220" cy="4671060"/>
                    </a:xfrm>
                    <a:prstGeom prst="rect">
                      <a:avLst/>
                    </a:prstGeom>
                    <a:ln>
                      <a:noFill/>
                    </a:ln>
                    <a:extLst>
                      <a:ext uri="{53640926-AAD7-44D8-BBD7-CCE9431645EC}">
                        <a14:shadowObscured xmlns:a14="http://schemas.microsoft.com/office/drawing/2010/main"/>
                      </a:ext>
                    </a:extLst>
                  </pic:spPr>
                </pic:pic>
              </a:graphicData>
            </a:graphic>
          </wp:inline>
        </w:drawing>
      </w:r>
    </w:p>
    <w:p w14:paraId="0638D66A" w14:textId="77777777" w:rsidR="00986528" w:rsidRPr="00986528" w:rsidRDefault="00986528" w:rsidP="00986528">
      <w:pPr>
        <w:pStyle w:val="Prrafodelista"/>
        <w:rPr>
          <w:rStyle w:val="Hipervnculo"/>
          <w:b/>
          <w:bCs/>
          <w:color w:val="auto"/>
          <w:u w:val="none"/>
        </w:rPr>
      </w:pPr>
    </w:p>
    <w:p w14:paraId="00B400AF" w14:textId="60772278" w:rsidR="00B234FE" w:rsidRDefault="00B234FE" w:rsidP="000A6AE8">
      <w:pPr>
        <w:pStyle w:val="Prrafodelista"/>
        <w:rPr>
          <w:rStyle w:val="Hipervnculo"/>
          <w:color w:val="auto"/>
          <w:u w:val="none"/>
        </w:rPr>
      </w:pPr>
      <w:r w:rsidRPr="00B234FE">
        <w:rPr>
          <w:rStyle w:val="Hipervnculo"/>
          <w:color w:val="auto"/>
          <w:u w:val="none"/>
        </w:rPr>
        <w:t>El NLS de MPG es esencial para la translocación nuclear: A/GST-</w:t>
      </w:r>
      <w:proofErr w:type="spellStart"/>
      <w:r w:rsidRPr="00B234FE">
        <w:rPr>
          <w:rStyle w:val="Hipervnculo"/>
          <w:color w:val="auto"/>
          <w:u w:val="none"/>
        </w:rPr>
        <w:t>importina</w:t>
      </w:r>
      <w:proofErr w:type="spellEnd"/>
      <w:r w:rsidRPr="00B234FE">
        <w:rPr>
          <w:rStyle w:val="Hipervnculo"/>
          <w:color w:val="auto"/>
          <w:u w:val="none"/>
        </w:rPr>
        <w:t xml:space="preserve"> α y β purificadas se acoplaron a resina GST </w:t>
      </w:r>
      <w:proofErr w:type="spellStart"/>
      <w:r w:rsidRPr="00B234FE">
        <w:rPr>
          <w:rStyle w:val="Hipervnculo"/>
          <w:color w:val="auto"/>
          <w:u w:val="none"/>
        </w:rPr>
        <w:t>Sepharose</w:t>
      </w:r>
      <w:proofErr w:type="spellEnd"/>
      <w:r w:rsidRPr="00B234FE">
        <w:rPr>
          <w:rStyle w:val="Hipervnculo"/>
          <w:color w:val="auto"/>
          <w:u w:val="none"/>
        </w:rPr>
        <w:t xml:space="preserve"> y se incubaron en lotes con MPG/ADN o complejos MPG ΔNLS /ADN durante 1 hora</w:t>
      </w:r>
      <w:r w:rsidR="003545D3">
        <w:rPr>
          <w:rStyle w:val="Hipervnculo"/>
          <w:color w:val="auto"/>
          <w:u w:val="none"/>
        </w:rPr>
        <w:t xml:space="preserve">, </w:t>
      </w:r>
      <w:r w:rsidR="003545D3" w:rsidRPr="003545D3">
        <w:rPr>
          <w:rStyle w:val="Hipervnculo"/>
          <w:color w:val="auto"/>
          <w:u w:val="none"/>
        </w:rPr>
        <w:t xml:space="preserve">se lavaron exhaustivamente y se incubaron con 50 Glutatión </w:t>
      </w:r>
      <w:proofErr w:type="spellStart"/>
      <w:r w:rsidR="003545D3" w:rsidRPr="003545D3">
        <w:rPr>
          <w:rStyle w:val="Hipervnculo"/>
          <w:color w:val="auto"/>
          <w:u w:val="none"/>
        </w:rPr>
        <w:t>nM</w:t>
      </w:r>
      <w:proofErr w:type="spellEnd"/>
      <w:r w:rsidR="003545D3" w:rsidRPr="003545D3">
        <w:rPr>
          <w:rStyle w:val="Hipervnculo"/>
          <w:color w:val="auto"/>
          <w:u w:val="none"/>
        </w:rPr>
        <w:t xml:space="preserve"> para </w:t>
      </w:r>
      <w:proofErr w:type="spellStart"/>
      <w:r w:rsidR="003545D3" w:rsidRPr="003545D3">
        <w:rPr>
          <w:rStyle w:val="Hipervnculo"/>
          <w:color w:val="auto"/>
          <w:u w:val="none"/>
        </w:rPr>
        <w:t>eluir</w:t>
      </w:r>
      <w:proofErr w:type="spellEnd"/>
      <w:r w:rsidR="003545D3" w:rsidRPr="003545D3">
        <w:rPr>
          <w:rStyle w:val="Hipervnculo"/>
          <w:color w:val="auto"/>
          <w:u w:val="none"/>
        </w:rPr>
        <w:t xml:space="preserve"> los complejos.</w:t>
      </w:r>
    </w:p>
    <w:p w14:paraId="18C364CD" w14:textId="6BC0FB66" w:rsidR="003545D3" w:rsidRPr="00113B3E" w:rsidRDefault="003545D3" w:rsidP="000A6AE8">
      <w:pPr>
        <w:pStyle w:val="Prrafodelista"/>
        <w:rPr>
          <w:rStyle w:val="Hipervnculo"/>
          <w:b/>
          <w:bCs/>
          <w:color w:val="auto"/>
          <w:u w:val="none"/>
        </w:rPr>
      </w:pPr>
      <w:r w:rsidRPr="00113B3E">
        <w:rPr>
          <w:rStyle w:val="Hipervnculo"/>
          <w:b/>
          <w:bCs/>
          <w:color w:val="auto"/>
          <w:u w:val="none"/>
        </w:rPr>
        <w:t>Parte A</w:t>
      </w:r>
    </w:p>
    <w:p w14:paraId="7BF0FCCB" w14:textId="7E5FBFAA" w:rsidR="003545D3" w:rsidRDefault="003545D3" w:rsidP="000A6AE8">
      <w:pPr>
        <w:pStyle w:val="Prrafodelista"/>
        <w:rPr>
          <w:rStyle w:val="Hipervnculo"/>
          <w:color w:val="auto"/>
          <w:u w:val="none"/>
        </w:rPr>
      </w:pPr>
      <w:r w:rsidRPr="003545D3">
        <w:rPr>
          <w:rStyle w:val="Hipervnculo"/>
          <w:color w:val="auto"/>
          <w:u w:val="none"/>
        </w:rPr>
        <w:t xml:space="preserve">Luego se extrajo el ADN y se analizó mediante electroforesis en gel de agarosa (0,8%). Carril 1: ADN de control; carril 2: el plásmido libre no se asocia con </w:t>
      </w:r>
      <w:proofErr w:type="spellStart"/>
      <w:r w:rsidRPr="003545D3">
        <w:rPr>
          <w:rStyle w:val="Hipervnculo"/>
          <w:color w:val="auto"/>
          <w:u w:val="none"/>
        </w:rPr>
        <w:t>importina</w:t>
      </w:r>
      <w:proofErr w:type="spellEnd"/>
      <w:r w:rsidRPr="003545D3">
        <w:rPr>
          <w:rStyle w:val="Hipervnculo"/>
          <w:color w:val="auto"/>
          <w:u w:val="none"/>
        </w:rPr>
        <w:t xml:space="preserve"> α; carril 3: unión de MPG/ADN a </w:t>
      </w:r>
      <w:proofErr w:type="spellStart"/>
      <w:r w:rsidRPr="003545D3">
        <w:rPr>
          <w:rStyle w:val="Hipervnculo"/>
          <w:color w:val="auto"/>
          <w:u w:val="none"/>
        </w:rPr>
        <w:t>importina</w:t>
      </w:r>
      <w:proofErr w:type="spellEnd"/>
      <w:r w:rsidRPr="003545D3">
        <w:rPr>
          <w:rStyle w:val="Hipervnculo"/>
          <w:color w:val="auto"/>
          <w:u w:val="none"/>
        </w:rPr>
        <w:t xml:space="preserve"> α; carril 4: unión de MPG/ADN a </w:t>
      </w:r>
      <w:proofErr w:type="spellStart"/>
      <w:r w:rsidRPr="003545D3">
        <w:rPr>
          <w:rStyle w:val="Hipervnculo"/>
          <w:color w:val="auto"/>
          <w:u w:val="none"/>
        </w:rPr>
        <w:t>importina</w:t>
      </w:r>
      <w:proofErr w:type="spellEnd"/>
      <w:r w:rsidRPr="003545D3">
        <w:rPr>
          <w:rStyle w:val="Hipervnculo"/>
          <w:color w:val="auto"/>
          <w:u w:val="none"/>
        </w:rPr>
        <w:t xml:space="preserve"> β; carril 5: MPG/ADN no se asocia con </w:t>
      </w:r>
      <w:proofErr w:type="spellStart"/>
      <w:r w:rsidRPr="003545D3">
        <w:rPr>
          <w:rStyle w:val="Hipervnculo"/>
          <w:color w:val="auto"/>
          <w:u w:val="none"/>
        </w:rPr>
        <w:t>importina</w:t>
      </w:r>
      <w:proofErr w:type="spellEnd"/>
      <w:r w:rsidRPr="003545D3">
        <w:rPr>
          <w:rStyle w:val="Hipervnculo"/>
          <w:color w:val="auto"/>
          <w:u w:val="none"/>
        </w:rPr>
        <w:t xml:space="preserve"> β</w:t>
      </w:r>
      <w:r w:rsidR="00113B3E">
        <w:rPr>
          <w:rStyle w:val="Hipervnculo"/>
          <w:color w:val="auto"/>
          <w:u w:val="none"/>
        </w:rPr>
        <w:t xml:space="preserve"> </w:t>
      </w:r>
    </w:p>
    <w:p w14:paraId="15BC78DD" w14:textId="1A1039CD" w:rsidR="00113B3E" w:rsidRPr="00113B3E" w:rsidRDefault="00113B3E" w:rsidP="000A6AE8">
      <w:pPr>
        <w:pStyle w:val="Prrafodelista"/>
        <w:rPr>
          <w:rStyle w:val="Hipervnculo"/>
          <w:b/>
          <w:bCs/>
          <w:color w:val="auto"/>
          <w:u w:val="none"/>
        </w:rPr>
      </w:pPr>
      <w:r w:rsidRPr="00113B3E">
        <w:rPr>
          <w:rStyle w:val="Hipervnculo"/>
          <w:b/>
          <w:bCs/>
          <w:color w:val="auto"/>
          <w:u w:val="none"/>
        </w:rPr>
        <w:t>Parte B</w:t>
      </w:r>
    </w:p>
    <w:p w14:paraId="646E5327" w14:textId="7362FEE7" w:rsidR="00113B3E" w:rsidRPr="00B234FE" w:rsidRDefault="00113B3E" w:rsidP="000A6AE8">
      <w:pPr>
        <w:pStyle w:val="Prrafodelista"/>
        <w:rPr>
          <w:rStyle w:val="Hipervnculo"/>
          <w:color w:val="auto"/>
          <w:u w:val="none"/>
        </w:rPr>
      </w:pPr>
      <w:r w:rsidRPr="00113B3E">
        <w:rPr>
          <w:rStyle w:val="Hipervnculo"/>
          <w:color w:val="auto"/>
          <w:u w:val="none"/>
        </w:rPr>
        <w:t xml:space="preserve">Entrega del plásmido pRL-SV40: se superpusieron complejos MPG/ADN (cuadros negros) o MPG ΔNLS /ADN (cuadros grises) formados con una relación de carga de 5/1 con 100 ng de plásmido pRL-SV40 que codifica el gen indicador </w:t>
      </w:r>
      <w:proofErr w:type="spellStart"/>
      <w:r w:rsidRPr="00113B3E">
        <w:rPr>
          <w:rStyle w:val="Hipervnculo"/>
          <w:color w:val="auto"/>
          <w:u w:val="none"/>
        </w:rPr>
        <w:t>luciferasa</w:t>
      </w:r>
      <w:proofErr w:type="spellEnd"/>
      <w:r w:rsidRPr="00113B3E">
        <w:rPr>
          <w:rStyle w:val="Hipervnculo"/>
          <w:color w:val="auto"/>
          <w:u w:val="none"/>
        </w:rPr>
        <w:t>. fibroblastos humanos sincronizados o detenidos (-FCS) (Hs68)</w:t>
      </w:r>
    </w:p>
    <w:p w14:paraId="3962B363" w14:textId="77777777" w:rsidR="003545D3" w:rsidRDefault="003545D3" w:rsidP="000A6AE8">
      <w:pPr>
        <w:pStyle w:val="Prrafodelista"/>
        <w:rPr>
          <w:rStyle w:val="Hipervnculo"/>
          <w:color w:val="auto"/>
        </w:rPr>
      </w:pPr>
    </w:p>
    <w:p w14:paraId="333A8FF7" w14:textId="176ACA7F" w:rsidR="00A74D66" w:rsidRDefault="00A74D66" w:rsidP="000A6AE8">
      <w:pPr>
        <w:pStyle w:val="Prrafodelista"/>
        <w:rPr>
          <w:rStyle w:val="Hipervnculo"/>
          <w:color w:val="auto"/>
          <w:u w:val="none"/>
        </w:rPr>
      </w:pPr>
      <w:r w:rsidRPr="00A74D66">
        <w:rPr>
          <w:rStyle w:val="Hipervnculo"/>
          <w:color w:val="auto"/>
          <w:u w:val="none"/>
        </w:rPr>
        <w:lastRenderedPageBreak/>
        <w:t xml:space="preserve">La actividad </w:t>
      </w:r>
      <w:proofErr w:type="spellStart"/>
      <w:r w:rsidRPr="00A74D66">
        <w:rPr>
          <w:rStyle w:val="Hipervnculo"/>
          <w:color w:val="auto"/>
          <w:u w:val="none"/>
        </w:rPr>
        <w:t>luciferasa</w:t>
      </w:r>
      <w:proofErr w:type="spellEnd"/>
      <w:r w:rsidRPr="00A74D66">
        <w:rPr>
          <w:rStyle w:val="Hipervnculo"/>
          <w:color w:val="auto"/>
          <w:u w:val="none"/>
        </w:rPr>
        <w:t xml:space="preserve"> se controló 12 horas y 24 horas después de la liberación de la sincronía, o después de 24 horas para las células detenidas y 48 horas para las células asincrónicas. Las transfecciones de control se realizaron con </w:t>
      </w:r>
      <w:proofErr w:type="spellStart"/>
      <w:r w:rsidRPr="00A74D66">
        <w:rPr>
          <w:rStyle w:val="Hipervnculo"/>
          <w:color w:val="auto"/>
          <w:u w:val="none"/>
        </w:rPr>
        <w:t>Lipofectamine</w:t>
      </w:r>
      <w:proofErr w:type="spellEnd"/>
      <w:r w:rsidRPr="00A74D66">
        <w:rPr>
          <w:rStyle w:val="Hipervnculo"/>
          <w:color w:val="auto"/>
          <w:u w:val="none"/>
        </w:rPr>
        <w:t>™ (cuadros blancos) o plásmido desnudo (cuadros discontinuos).</w:t>
      </w:r>
    </w:p>
    <w:p w14:paraId="25F47D36" w14:textId="77777777" w:rsidR="00E04C6B" w:rsidRDefault="00E04C6B" w:rsidP="00E04C6B">
      <w:pPr>
        <w:pStyle w:val="Prrafodelista"/>
        <w:rPr>
          <w:rStyle w:val="Hipervnculo"/>
          <w:color w:val="auto"/>
        </w:rPr>
      </w:pPr>
    </w:p>
    <w:p w14:paraId="54ABA6A7" w14:textId="582531CD" w:rsidR="00E04C6B" w:rsidRPr="009575A9" w:rsidRDefault="00E04C6B" w:rsidP="00E04C6B">
      <w:pPr>
        <w:pStyle w:val="Prrafodelista"/>
        <w:rPr>
          <w:rStyle w:val="Hipervnculo"/>
          <w:b/>
          <w:bCs/>
          <w:color w:val="auto"/>
        </w:rPr>
      </w:pPr>
      <w:r w:rsidRPr="009575A9">
        <w:rPr>
          <w:rStyle w:val="Hipervnculo"/>
          <w:color w:val="auto"/>
        </w:rPr>
        <w:t xml:space="preserve">¿Modelar el </w:t>
      </w:r>
      <w:proofErr w:type="spellStart"/>
      <w:r w:rsidRPr="009575A9">
        <w:rPr>
          <w:rStyle w:val="Hipervnculo"/>
          <w:color w:val="auto"/>
        </w:rPr>
        <w:t>dna</w:t>
      </w:r>
      <w:proofErr w:type="spellEnd"/>
      <w:r w:rsidRPr="009575A9">
        <w:rPr>
          <w:rStyle w:val="Hipervnculo"/>
          <w:color w:val="auto"/>
        </w:rPr>
        <w:t>/péptidos con </w:t>
      </w:r>
      <w:proofErr w:type="spellStart"/>
      <w:r w:rsidRPr="009575A9">
        <w:rPr>
          <w:rStyle w:val="Hipervnculo"/>
          <w:color w:val="auto"/>
        </w:rPr>
        <w:t>importinas</w:t>
      </w:r>
      <w:proofErr w:type="spellEnd"/>
      <w:r w:rsidRPr="009575A9">
        <w:rPr>
          <w:rStyle w:val="Hipervnculo"/>
          <w:color w:val="auto"/>
        </w:rPr>
        <w:t>?</w:t>
      </w:r>
    </w:p>
    <w:p w14:paraId="6C56B005" w14:textId="77777777" w:rsidR="00E04C6B" w:rsidRDefault="00E04C6B" w:rsidP="000A6AE8">
      <w:pPr>
        <w:pStyle w:val="Prrafodelista"/>
        <w:rPr>
          <w:rStyle w:val="Hipervnculo"/>
          <w:color w:val="auto"/>
          <w:u w:val="none"/>
        </w:rPr>
      </w:pPr>
    </w:p>
    <w:p w14:paraId="55DEFB3D" w14:textId="77777777" w:rsidR="00E04C6B" w:rsidRDefault="00E04C6B" w:rsidP="00E04C6B">
      <w:pPr>
        <w:pStyle w:val="Prrafodelista"/>
        <w:rPr>
          <w:rStyle w:val="Hipervnculo"/>
          <w:color w:val="auto"/>
          <w:u w:val="none"/>
        </w:rPr>
      </w:pPr>
      <w:r>
        <w:rPr>
          <w:rStyle w:val="Hipervnculo"/>
          <w:color w:val="auto"/>
          <w:u w:val="none"/>
        </w:rPr>
        <w:t xml:space="preserve">GST: </w:t>
      </w:r>
      <w:r w:rsidRPr="007D5AF0">
        <w:rPr>
          <w:rStyle w:val="Hipervnculo"/>
          <w:color w:val="auto"/>
          <w:u w:val="none"/>
        </w:rPr>
        <w:t xml:space="preserve">Glutatión </w:t>
      </w:r>
      <w:proofErr w:type="spellStart"/>
      <w:r w:rsidRPr="007D5AF0">
        <w:rPr>
          <w:rStyle w:val="Hipervnculo"/>
          <w:color w:val="auto"/>
          <w:u w:val="none"/>
        </w:rPr>
        <w:t>Sefarosa</w:t>
      </w:r>
      <w:proofErr w:type="spellEnd"/>
      <w:r w:rsidRPr="007D5AF0">
        <w:rPr>
          <w:rStyle w:val="Hipervnculo"/>
          <w:color w:val="auto"/>
          <w:u w:val="none"/>
        </w:rPr>
        <w:t xml:space="preserve"> 4 </w:t>
      </w:r>
      <w:proofErr w:type="spellStart"/>
      <w:r w:rsidRPr="007D5AF0">
        <w:rPr>
          <w:rStyle w:val="Hipervnculo"/>
          <w:color w:val="auto"/>
          <w:u w:val="none"/>
        </w:rPr>
        <w:t>Fast</w:t>
      </w:r>
      <w:proofErr w:type="spellEnd"/>
      <w:r w:rsidRPr="007D5AF0">
        <w:rPr>
          <w:rStyle w:val="Hipervnculo"/>
          <w:color w:val="auto"/>
          <w:u w:val="none"/>
        </w:rPr>
        <w:t xml:space="preserve"> Flow se utiliza para purificar proteínas marcadas con glutatión S-transferasa (GST) a partir de lisados </w:t>
      </w:r>
      <w:r w:rsidRPr="007D5AF0">
        <w:rPr>
          <w:rStyle w:val="Hipervnculo"/>
          <w:rFonts w:ascii="Arial" w:hAnsi="Arial" w:cs="Arial"/>
          <w:color w:val="auto"/>
          <w:u w:val="none"/>
        </w:rPr>
        <w:t>​​</w:t>
      </w:r>
      <w:r w:rsidRPr="007D5AF0">
        <w:rPr>
          <w:rStyle w:val="Hipervnculo"/>
          <w:color w:val="auto"/>
          <w:u w:val="none"/>
        </w:rPr>
        <w:t>bacterianos. Tambi</w:t>
      </w:r>
      <w:r w:rsidRPr="007D5AF0">
        <w:rPr>
          <w:rStyle w:val="Hipervnculo"/>
          <w:rFonts w:ascii="Aptos" w:hAnsi="Aptos" w:cs="Aptos"/>
          <w:color w:val="auto"/>
          <w:u w:val="none"/>
        </w:rPr>
        <w:t>é</w:t>
      </w:r>
      <w:r w:rsidRPr="007D5AF0">
        <w:rPr>
          <w:rStyle w:val="Hipervnculo"/>
          <w:color w:val="auto"/>
          <w:u w:val="none"/>
        </w:rPr>
        <w:t>n es adecuado para purificar otras S-transferasas o prote</w:t>
      </w:r>
      <w:r w:rsidRPr="007D5AF0">
        <w:rPr>
          <w:rStyle w:val="Hipervnculo"/>
          <w:rFonts w:ascii="Aptos" w:hAnsi="Aptos" w:cs="Aptos"/>
          <w:color w:val="auto"/>
          <w:u w:val="none"/>
        </w:rPr>
        <w:t>í</w:t>
      </w:r>
      <w:r w:rsidRPr="007D5AF0">
        <w:rPr>
          <w:rStyle w:val="Hipervnculo"/>
          <w:color w:val="auto"/>
          <w:u w:val="none"/>
        </w:rPr>
        <w:t>nas dependientes de glutati</w:t>
      </w:r>
      <w:r w:rsidRPr="007D5AF0">
        <w:rPr>
          <w:rStyle w:val="Hipervnculo"/>
          <w:rFonts w:ascii="Aptos" w:hAnsi="Aptos" w:cs="Aptos"/>
          <w:color w:val="auto"/>
          <w:u w:val="none"/>
        </w:rPr>
        <w:t>ó</w:t>
      </w:r>
      <w:r w:rsidRPr="007D5AF0">
        <w:rPr>
          <w:rStyle w:val="Hipervnculo"/>
          <w:color w:val="auto"/>
          <w:u w:val="none"/>
        </w:rPr>
        <w:t>n.</w:t>
      </w:r>
    </w:p>
    <w:p w14:paraId="714A9910" w14:textId="77777777" w:rsidR="00E04C6B" w:rsidRDefault="00E04C6B" w:rsidP="000A6AE8">
      <w:pPr>
        <w:pStyle w:val="Prrafodelista"/>
        <w:rPr>
          <w:rStyle w:val="Hipervnculo"/>
          <w:color w:val="auto"/>
          <w:u w:val="none"/>
        </w:rPr>
      </w:pPr>
    </w:p>
    <w:p w14:paraId="0226670F" w14:textId="77777777" w:rsidR="00986528" w:rsidRDefault="00986528" w:rsidP="000A6AE8">
      <w:pPr>
        <w:pStyle w:val="Prrafodelista"/>
        <w:rPr>
          <w:rStyle w:val="Hipervnculo"/>
          <w:color w:val="auto"/>
          <w:u w:val="none"/>
        </w:rPr>
      </w:pPr>
    </w:p>
    <w:p w14:paraId="4A2BAE5A" w14:textId="3AD5B04A" w:rsidR="00986528" w:rsidRDefault="00986528" w:rsidP="00986528">
      <w:pPr>
        <w:pStyle w:val="Prrafodelista"/>
        <w:rPr>
          <w:rStyle w:val="Hipervnculo"/>
          <w:b/>
          <w:bCs/>
          <w:color w:val="auto"/>
          <w:u w:val="none"/>
        </w:rPr>
      </w:pPr>
      <w:r w:rsidRPr="00986528">
        <w:rPr>
          <w:rStyle w:val="Hipervnculo"/>
          <w:b/>
          <w:bCs/>
          <w:color w:val="auto"/>
          <w:u w:val="none"/>
        </w:rPr>
        <w:t>Metodología</w:t>
      </w:r>
    </w:p>
    <w:p w14:paraId="04FD558D" w14:textId="77777777" w:rsidR="003C7D73" w:rsidRPr="001555B8" w:rsidRDefault="003C7D73" w:rsidP="003C7D73">
      <w:pPr>
        <w:pStyle w:val="Prrafodelista"/>
        <w:numPr>
          <w:ilvl w:val="0"/>
          <w:numId w:val="7"/>
        </w:numPr>
        <w:rPr>
          <w:rStyle w:val="Hipervnculo"/>
          <w:b/>
          <w:bCs/>
          <w:color w:val="auto"/>
          <w:u w:val="none"/>
        </w:rPr>
      </w:pPr>
      <w:r w:rsidRPr="001555B8">
        <w:rPr>
          <w:rStyle w:val="Hipervnculo"/>
          <w:b/>
          <w:bCs/>
          <w:color w:val="auto"/>
          <w:u w:val="none"/>
        </w:rPr>
        <w:t>Cultivo celular y transfección mediada por MPG.</w:t>
      </w:r>
    </w:p>
    <w:p w14:paraId="05C7B28E" w14:textId="77777777" w:rsidR="003C7D73" w:rsidRDefault="003C7D73" w:rsidP="003C7D73">
      <w:pPr>
        <w:pStyle w:val="Prrafodelista"/>
        <w:ind w:left="1440"/>
        <w:rPr>
          <w:rStyle w:val="Hipervnculo"/>
          <w:color w:val="auto"/>
          <w:u w:val="none"/>
        </w:rPr>
      </w:pPr>
      <w:r w:rsidRPr="00986528">
        <w:rPr>
          <w:rStyle w:val="Hipervnculo"/>
          <w:color w:val="auto"/>
          <w:u w:val="none"/>
        </w:rPr>
        <w:t>Para la administración de genes mediada por MPG o MPG ΔNLS, se formaron complejos de péptido portador/</w:t>
      </w:r>
      <w:proofErr w:type="spellStart"/>
      <w:r w:rsidRPr="00986528">
        <w:rPr>
          <w:rStyle w:val="Hipervnculo"/>
          <w:color w:val="auto"/>
          <w:u w:val="none"/>
        </w:rPr>
        <w:t>ARNip</w:t>
      </w:r>
      <w:proofErr w:type="spellEnd"/>
      <w:r w:rsidRPr="00986528">
        <w:rPr>
          <w:rStyle w:val="Hipervnculo"/>
          <w:color w:val="auto"/>
          <w:u w:val="none"/>
        </w:rPr>
        <w:t xml:space="preserve"> en DMEM o PBS, con una relación de carga de 10:1 y se incubaron durante 30 min a 37 °C</w:t>
      </w:r>
      <w:r>
        <w:rPr>
          <w:rStyle w:val="Hipervnculo"/>
          <w:color w:val="auto"/>
          <w:u w:val="none"/>
        </w:rPr>
        <w:t xml:space="preserve">. </w:t>
      </w:r>
      <w:r w:rsidRPr="001555B8">
        <w:rPr>
          <w:rStyle w:val="Hipervnculo"/>
          <w:color w:val="auto"/>
          <w:u w:val="none"/>
        </w:rPr>
        <w:t>Las transfecciones se realizaron durante 1 hora, después de lo cual las células se lavaron exhaustivamente y se analizaron mediante microscopía de fluorescencia para determinar la localización celular del oligonucleótido marcado fluorescentemente</w:t>
      </w:r>
    </w:p>
    <w:p w14:paraId="5919AB21" w14:textId="77777777" w:rsidR="003C7D73" w:rsidRDefault="003C7D73" w:rsidP="003C7D73">
      <w:pPr>
        <w:pStyle w:val="Prrafodelista"/>
        <w:numPr>
          <w:ilvl w:val="0"/>
          <w:numId w:val="7"/>
        </w:numPr>
        <w:rPr>
          <w:rStyle w:val="Hipervnculo"/>
          <w:b/>
          <w:bCs/>
          <w:color w:val="auto"/>
          <w:u w:val="none"/>
        </w:rPr>
      </w:pPr>
      <w:r w:rsidRPr="001555B8">
        <w:rPr>
          <w:rStyle w:val="Hipervnculo"/>
          <w:b/>
          <w:bCs/>
          <w:color w:val="auto"/>
          <w:u w:val="none"/>
        </w:rPr>
        <w:t xml:space="preserve">Entrega de </w:t>
      </w:r>
      <w:proofErr w:type="spellStart"/>
      <w:r>
        <w:rPr>
          <w:rStyle w:val="Hipervnculo"/>
          <w:b/>
          <w:bCs/>
          <w:color w:val="auto"/>
          <w:u w:val="none"/>
        </w:rPr>
        <w:t>siRNA</w:t>
      </w:r>
      <w:proofErr w:type="spellEnd"/>
      <w:r w:rsidRPr="001555B8">
        <w:rPr>
          <w:rStyle w:val="Hipervnculo"/>
          <w:b/>
          <w:bCs/>
          <w:color w:val="auto"/>
          <w:u w:val="none"/>
        </w:rPr>
        <w:t xml:space="preserve"> mediada por MPG.</w:t>
      </w:r>
    </w:p>
    <w:p w14:paraId="48C6FE02" w14:textId="77777777" w:rsidR="003C7D73" w:rsidRDefault="003C7D73" w:rsidP="003C7D73">
      <w:pPr>
        <w:pStyle w:val="Prrafodelista"/>
        <w:ind w:left="1440"/>
        <w:rPr>
          <w:rStyle w:val="Hipervnculo"/>
          <w:color w:val="auto"/>
          <w:u w:val="none"/>
        </w:rPr>
      </w:pPr>
      <w:r w:rsidRPr="006402EE">
        <w:rPr>
          <w:rStyle w:val="Hipervnculo"/>
          <w:color w:val="auto"/>
          <w:u w:val="none"/>
        </w:rPr>
        <w:t xml:space="preserve">Los </w:t>
      </w:r>
      <w:proofErr w:type="spellStart"/>
      <w:r>
        <w:rPr>
          <w:rStyle w:val="Hipervnculo"/>
          <w:color w:val="auto"/>
          <w:u w:val="none"/>
        </w:rPr>
        <w:t>siRNA</w:t>
      </w:r>
      <w:proofErr w:type="spellEnd"/>
      <w:r w:rsidRPr="006402EE">
        <w:rPr>
          <w:rStyle w:val="Hipervnculo"/>
          <w:color w:val="auto"/>
          <w:u w:val="none"/>
        </w:rPr>
        <w:t xml:space="preserve"> dirigidos a la 3'UTR de GAPDH procedían del kit de </w:t>
      </w:r>
      <w:proofErr w:type="spellStart"/>
      <w:r>
        <w:rPr>
          <w:rStyle w:val="Hipervnculo"/>
          <w:color w:val="auto"/>
          <w:u w:val="none"/>
        </w:rPr>
        <w:t>siRNA</w:t>
      </w:r>
      <w:proofErr w:type="spellEnd"/>
      <w:r w:rsidRPr="006402EE">
        <w:rPr>
          <w:rStyle w:val="Hipervnculo"/>
          <w:color w:val="auto"/>
          <w:u w:val="none"/>
        </w:rPr>
        <w:t xml:space="preserve"> </w:t>
      </w:r>
      <w:proofErr w:type="spellStart"/>
      <w:r w:rsidRPr="006402EE">
        <w:rPr>
          <w:rStyle w:val="Hipervnculo"/>
          <w:color w:val="auto"/>
          <w:u w:val="none"/>
        </w:rPr>
        <w:t>Silencer</w:t>
      </w:r>
      <w:proofErr w:type="spellEnd"/>
      <w:r w:rsidRPr="006402EE">
        <w:rPr>
          <w:rStyle w:val="Hipervnculo"/>
          <w:color w:val="auto"/>
          <w:u w:val="none"/>
        </w:rPr>
        <w:t>™ GAPDH (</w:t>
      </w:r>
      <w:proofErr w:type="spellStart"/>
      <w:r w:rsidRPr="006402EE">
        <w:rPr>
          <w:rStyle w:val="Hipervnculo"/>
          <w:color w:val="auto"/>
          <w:u w:val="none"/>
        </w:rPr>
        <w:t>Ambion</w:t>
      </w:r>
      <w:proofErr w:type="spellEnd"/>
      <w:r w:rsidRPr="006402EE">
        <w:rPr>
          <w:rStyle w:val="Hipervnculo"/>
          <w:color w:val="auto"/>
          <w:u w:val="none"/>
        </w:rPr>
        <w:t xml:space="preserve">). El marcaje fluorescente de </w:t>
      </w:r>
      <w:proofErr w:type="spellStart"/>
      <w:r>
        <w:rPr>
          <w:rStyle w:val="Hipervnculo"/>
          <w:color w:val="auto"/>
          <w:u w:val="none"/>
        </w:rPr>
        <w:t>siRNA</w:t>
      </w:r>
      <w:proofErr w:type="spellEnd"/>
      <w:r>
        <w:rPr>
          <w:rStyle w:val="Hipervnculo"/>
          <w:color w:val="auto"/>
          <w:u w:val="none"/>
        </w:rPr>
        <w:t xml:space="preserve"> </w:t>
      </w:r>
      <w:r w:rsidRPr="006402EE">
        <w:rPr>
          <w:rStyle w:val="Hipervnculo"/>
          <w:color w:val="auto"/>
          <w:u w:val="none"/>
        </w:rPr>
        <w:t xml:space="preserve">se realizó utilizando el kit de marcaje </w:t>
      </w:r>
      <w:proofErr w:type="spellStart"/>
      <w:r w:rsidRPr="006402EE">
        <w:rPr>
          <w:rStyle w:val="Hipervnculo"/>
          <w:color w:val="auto"/>
          <w:u w:val="none"/>
        </w:rPr>
        <w:t>Fam</w:t>
      </w:r>
      <w:proofErr w:type="spellEnd"/>
      <w:r w:rsidRPr="006402EE">
        <w:rPr>
          <w:rStyle w:val="Hipervnculo"/>
          <w:color w:val="auto"/>
          <w:u w:val="none"/>
        </w:rPr>
        <w:t xml:space="preserve"> o Cy3 </w:t>
      </w:r>
      <w:proofErr w:type="spellStart"/>
      <w:r w:rsidRPr="006402EE">
        <w:rPr>
          <w:rStyle w:val="Hipervnculo"/>
          <w:color w:val="auto"/>
          <w:u w:val="none"/>
        </w:rPr>
        <w:t>Silencer</w:t>
      </w:r>
      <w:proofErr w:type="spellEnd"/>
      <w:r w:rsidRPr="006402EE">
        <w:rPr>
          <w:rStyle w:val="Hipervnculo"/>
          <w:color w:val="auto"/>
          <w:u w:val="none"/>
        </w:rPr>
        <w:t>™ (</w:t>
      </w:r>
      <w:proofErr w:type="spellStart"/>
      <w:r w:rsidRPr="006402EE">
        <w:rPr>
          <w:rStyle w:val="Hipervnculo"/>
          <w:color w:val="auto"/>
          <w:u w:val="none"/>
        </w:rPr>
        <w:t>Ambion</w:t>
      </w:r>
      <w:proofErr w:type="spellEnd"/>
      <w:r w:rsidRPr="006402EE">
        <w:rPr>
          <w:rStyle w:val="Hipervnculo"/>
          <w:color w:val="auto"/>
          <w:u w:val="none"/>
        </w:rPr>
        <w:t>) y se modificó como se describe en el protocolo del fabricante.</w:t>
      </w:r>
    </w:p>
    <w:p w14:paraId="150B7795" w14:textId="77777777" w:rsidR="003C7D73" w:rsidRDefault="003C7D73" w:rsidP="003C7D73">
      <w:pPr>
        <w:pStyle w:val="Prrafodelista"/>
        <w:ind w:left="1440"/>
        <w:rPr>
          <w:rStyle w:val="Hipervnculo"/>
          <w:color w:val="auto"/>
          <w:u w:val="none"/>
        </w:rPr>
      </w:pPr>
    </w:p>
    <w:p w14:paraId="73F75555" w14:textId="77777777" w:rsidR="003C7D73" w:rsidRDefault="003C7D73" w:rsidP="003C7D73">
      <w:pPr>
        <w:pStyle w:val="Prrafodelista"/>
        <w:ind w:left="1440"/>
        <w:rPr>
          <w:rStyle w:val="Hipervnculo"/>
          <w:color w:val="auto"/>
          <w:u w:val="none"/>
        </w:rPr>
      </w:pPr>
      <w:r w:rsidRPr="006402EE">
        <w:rPr>
          <w:rStyle w:val="Hipervnculo"/>
          <w:color w:val="auto"/>
          <w:u w:val="none"/>
        </w:rPr>
        <w:t xml:space="preserve">El gen indicador </w:t>
      </w:r>
      <w:proofErr w:type="spellStart"/>
      <w:r w:rsidRPr="006402EE">
        <w:rPr>
          <w:rStyle w:val="Hipervnculo"/>
          <w:color w:val="auto"/>
          <w:u w:val="none"/>
        </w:rPr>
        <w:t>pRL</w:t>
      </w:r>
      <w:proofErr w:type="spellEnd"/>
      <w:r w:rsidRPr="006402EE">
        <w:rPr>
          <w:rStyle w:val="Hipervnculo"/>
          <w:color w:val="auto"/>
          <w:u w:val="none"/>
        </w:rPr>
        <w:t xml:space="preserve">-Luc era de Promega y </w:t>
      </w:r>
      <w:proofErr w:type="spellStart"/>
      <w:r>
        <w:rPr>
          <w:rStyle w:val="Hipervnculo"/>
          <w:color w:val="auto"/>
          <w:u w:val="none"/>
        </w:rPr>
        <w:t>siRNA</w:t>
      </w:r>
      <w:proofErr w:type="spellEnd"/>
      <w:r w:rsidRPr="006402EE">
        <w:rPr>
          <w:rStyle w:val="Hipervnculo"/>
          <w:color w:val="auto"/>
          <w:u w:val="none"/>
        </w:rPr>
        <w:t xml:space="preserve"> dirigido a la </w:t>
      </w:r>
      <w:proofErr w:type="spellStart"/>
      <w:r w:rsidRPr="006402EE">
        <w:rPr>
          <w:rStyle w:val="Hipervnculo"/>
          <w:color w:val="auto"/>
          <w:u w:val="none"/>
        </w:rPr>
        <w:t>luciferasa</w:t>
      </w:r>
      <w:proofErr w:type="spellEnd"/>
      <w:r w:rsidRPr="006402EE">
        <w:rPr>
          <w:rStyle w:val="Hipervnculo"/>
          <w:color w:val="auto"/>
          <w:u w:val="none"/>
        </w:rPr>
        <w:t xml:space="preserve"> en sentido 5' CUUACGCUGAGUACUUCGATT 3' (SEQ ID NO:4) y </w:t>
      </w:r>
      <w:proofErr w:type="spellStart"/>
      <w:r w:rsidRPr="006402EE">
        <w:rPr>
          <w:rStyle w:val="Hipervnculo"/>
          <w:color w:val="auto"/>
          <w:u w:val="none"/>
        </w:rPr>
        <w:t>antisentido</w:t>
      </w:r>
      <w:proofErr w:type="spellEnd"/>
      <w:r w:rsidRPr="006402EE">
        <w:rPr>
          <w:rStyle w:val="Hipervnculo"/>
          <w:color w:val="auto"/>
          <w:u w:val="none"/>
        </w:rPr>
        <w:t xml:space="preserve"> 3' TTGAAUGCGACUCAUGAAGCU 5' (SEQ ID NO:5) y sentido no coincidente 5' CGUACGCGGAAUACUUCGATT 3' (SEQ ID NO:6) y </w:t>
      </w:r>
      <w:proofErr w:type="spellStart"/>
      <w:r>
        <w:rPr>
          <w:rStyle w:val="Hipervnculo"/>
          <w:color w:val="auto"/>
          <w:u w:val="none"/>
        </w:rPr>
        <w:t>siRNA</w:t>
      </w:r>
      <w:proofErr w:type="spellEnd"/>
      <w:r w:rsidRPr="006402EE">
        <w:rPr>
          <w:rStyle w:val="Hipervnculo"/>
          <w:color w:val="auto"/>
          <w:u w:val="none"/>
        </w:rPr>
        <w:t xml:space="preserve"> </w:t>
      </w:r>
      <w:proofErr w:type="spellStart"/>
      <w:r w:rsidRPr="006402EE">
        <w:rPr>
          <w:rStyle w:val="Hipervnculo"/>
          <w:color w:val="auto"/>
          <w:u w:val="none"/>
        </w:rPr>
        <w:t>antisentido</w:t>
      </w:r>
      <w:proofErr w:type="spellEnd"/>
      <w:r w:rsidRPr="006402EE">
        <w:rPr>
          <w:rStyle w:val="Hipervnculo"/>
          <w:color w:val="auto"/>
          <w:u w:val="none"/>
        </w:rPr>
        <w:t xml:space="preserve"> 3' TTGCAUGCGCCUUAUGAAGCU 5' (SEQ ID NO:7) se obtuvieron de </w:t>
      </w:r>
      <w:proofErr w:type="spellStart"/>
      <w:r w:rsidRPr="006402EE">
        <w:rPr>
          <w:rStyle w:val="Hipervnculo"/>
          <w:color w:val="auto"/>
          <w:u w:val="none"/>
        </w:rPr>
        <w:t>Genset</w:t>
      </w:r>
      <w:proofErr w:type="spellEnd"/>
      <w:r w:rsidRPr="006402EE">
        <w:rPr>
          <w:rStyle w:val="Hipervnculo"/>
          <w:color w:val="auto"/>
          <w:u w:val="none"/>
        </w:rPr>
        <w:t xml:space="preserve"> </w:t>
      </w:r>
      <w:proofErr w:type="spellStart"/>
      <w:r w:rsidRPr="006402EE">
        <w:rPr>
          <w:rStyle w:val="Hipervnculo"/>
          <w:color w:val="auto"/>
          <w:u w:val="none"/>
        </w:rPr>
        <w:t>Oligos</w:t>
      </w:r>
      <w:proofErr w:type="spellEnd"/>
      <w:r w:rsidRPr="006402EE">
        <w:rPr>
          <w:rStyle w:val="Hipervnculo"/>
          <w:color w:val="auto"/>
          <w:u w:val="none"/>
        </w:rPr>
        <w:t>.</w:t>
      </w:r>
    </w:p>
    <w:p w14:paraId="7291A5A5" w14:textId="77777777" w:rsidR="003C7D73" w:rsidRDefault="003C7D73" w:rsidP="003C7D73">
      <w:pPr>
        <w:pStyle w:val="Prrafodelista"/>
        <w:numPr>
          <w:ilvl w:val="0"/>
          <w:numId w:val="7"/>
        </w:numPr>
        <w:rPr>
          <w:rStyle w:val="Hipervnculo"/>
          <w:b/>
          <w:bCs/>
          <w:color w:val="auto"/>
          <w:u w:val="none"/>
        </w:rPr>
      </w:pPr>
      <w:proofErr w:type="spellStart"/>
      <w:r w:rsidRPr="003020D5">
        <w:rPr>
          <w:rStyle w:val="Hipervnculo"/>
          <w:b/>
          <w:bCs/>
          <w:color w:val="auto"/>
          <w:u w:val="none"/>
        </w:rPr>
        <w:t>Northern</w:t>
      </w:r>
      <w:proofErr w:type="spellEnd"/>
      <w:r w:rsidRPr="003020D5">
        <w:rPr>
          <w:rStyle w:val="Hipervnculo"/>
          <w:b/>
          <w:bCs/>
          <w:color w:val="auto"/>
          <w:u w:val="none"/>
        </w:rPr>
        <w:t xml:space="preserve"> </w:t>
      </w:r>
      <w:proofErr w:type="spellStart"/>
      <w:r w:rsidRPr="003020D5">
        <w:rPr>
          <w:rStyle w:val="Hipervnculo"/>
          <w:b/>
          <w:bCs/>
          <w:color w:val="auto"/>
          <w:u w:val="none"/>
        </w:rPr>
        <w:t>Blot</w:t>
      </w:r>
      <w:r>
        <w:rPr>
          <w:rStyle w:val="Hipervnculo"/>
          <w:b/>
          <w:bCs/>
          <w:color w:val="auto"/>
          <w:u w:val="none"/>
        </w:rPr>
        <w:t>ting</w:t>
      </w:r>
      <w:proofErr w:type="spellEnd"/>
    </w:p>
    <w:p w14:paraId="588CB03D" w14:textId="77777777" w:rsidR="003C7D73" w:rsidRDefault="003C7D73" w:rsidP="003C7D73">
      <w:pPr>
        <w:pStyle w:val="Prrafodelista"/>
        <w:ind w:left="1440"/>
      </w:pPr>
      <w:r w:rsidRPr="004C4EDB">
        <w:t xml:space="preserve">Se recogieron células Hs68 o </w:t>
      </w:r>
      <w:proofErr w:type="spellStart"/>
      <w:r w:rsidRPr="004C4EDB">
        <w:t>HeLa</w:t>
      </w:r>
      <w:proofErr w:type="spellEnd"/>
      <w:r w:rsidRPr="004C4EDB">
        <w:t xml:space="preserve"> (5 x 10</w:t>
      </w:r>
      <w:r w:rsidRPr="004C4EDB">
        <w:rPr>
          <w:vertAlign w:val="superscript"/>
        </w:rPr>
        <w:t>6</w:t>
      </w:r>
      <w:r w:rsidRPr="004C4EDB">
        <w:t xml:space="preserve"> células) incubadas con complejos y se aislaron los ARN totales de las células utilizando </w:t>
      </w:r>
      <w:proofErr w:type="spellStart"/>
      <w:r w:rsidRPr="004C4EDB">
        <w:t>TriReagent</w:t>
      </w:r>
      <w:proofErr w:type="spellEnd"/>
      <w:r w:rsidRPr="004C4EDB">
        <w:t>™</w:t>
      </w:r>
      <w:r>
        <w:t xml:space="preserve">. </w:t>
      </w:r>
    </w:p>
    <w:p w14:paraId="2851F365" w14:textId="77777777" w:rsidR="003C7D73" w:rsidRDefault="003C7D73" w:rsidP="003C7D73">
      <w:pPr>
        <w:pStyle w:val="Prrafodelista"/>
        <w:ind w:left="1440"/>
      </w:pPr>
    </w:p>
    <w:p w14:paraId="6AF33E5C" w14:textId="7A75AEE7" w:rsidR="003C7D73" w:rsidRDefault="003C7D73" w:rsidP="003C7D73">
      <w:pPr>
        <w:pStyle w:val="Prrafodelista"/>
        <w:ind w:left="1440"/>
      </w:pPr>
      <w:r w:rsidRPr="003C7D73">
        <w:t>Las muestras de ARN (10 μg) se separaron mediante electroforesis en geles de agarosa formaldehído (1,2%), se transfirieron a membranas de nailon (</w:t>
      </w:r>
      <w:proofErr w:type="spellStart"/>
      <w:r w:rsidRPr="003C7D73">
        <w:t>Hybond</w:t>
      </w:r>
      <w:proofErr w:type="spellEnd"/>
      <w:r w:rsidRPr="003C7D73">
        <w:t xml:space="preserve"> N+, </w:t>
      </w:r>
      <w:proofErr w:type="spellStart"/>
      <w:r w:rsidRPr="003C7D73">
        <w:t>Amersham</w:t>
      </w:r>
      <w:proofErr w:type="spellEnd"/>
      <w:r w:rsidRPr="003C7D73">
        <w:t xml:space="preserve"> </w:t>
      </w:r>
      <w:proofErr w:type="spellStart"/>
      <w:r w:rsidRPr="003C7D73">
        <w:t>Pharmacia</w:t>
      </w:r>
      <w:proofErr w:type="spellEnd"/>
      <w:r w:rsidRPr="003C7D73">
        <w:t xml:space="preserve"> </w:t>
      </w:r>
      <w:proofErr w:type="spellStart"/>
      <w:r w:rsidRPr="003C7D73">
        <w:t>Biotech</w:t>
      </w:r>
      <w:proofErr w:type="spellEnd"/>
      <w:r w:rsidRPr="003C7D73">
        <w:t xml:space="preserve">) y se hibridaron con </w:t>
      </w:r>
      <w:proofErr w:type="spellStart"/>
      <w:r>
        <w:t>con</w:t>
      </w:r>
      <w:proofErr w:type="spellEnd"/>
      <w:r>
        <w:t xml:space="preserve"> un </w:t>
      </w:r>
      <w:r w:rsidRPr="003C7D73">
        <w:t>marca</w:t>
      </w:r>
      <w:r>
        <w:t xml:space="preserve">je </w:t>
      </w:r>
      <w:r w:rsidRPr="003C7D73">
        <w:t>P</w:t>
      </w:r>
      <w:r>
        <w:t xml:space="preserve"> </w:t>
      </w:r>
      <w:r w:rsidRPr="003C7D73">
        <w:t xml:space="preserve">GAPDH y sondas de actina (estas últimas utilizadas para normalizar la carga de ARN). Las señales se detectaron mediante </w:t>
      </w:r>
      <w:proofErr w:type="spellStart"/>
      <w:r w:rsidRPr="003C7D73">
        <w:t>Phosphorimaging</w:t>
      </w:r>
      <w:proofErr w:type="spellEnd"/>
      <w:r w:rsidRPr="003C7D73">
        <w:t xml:space="preserve"> (Molecular Dynamics) y se cuantificaron utilizando el software </w:t>
      </w:r>
      <w:proofErr w:type="spellStart"/>
      <w:r w:rsidRPr="003C7D73">
        <w:t>ImageQuant</w:t>
      </w:r>
      <w:proofErr w:type="spellEnd"/>
      <w:r w:rsidRPr="003C7D73">
        <w:t>.</w:t>
      </w:r>
    </w:p>
    <w:p w14:paraId="34F349C6" w14:textId="77777777" w:rsidR="003C7D73" w:rsidRDefault="003C7D73" w:rsidP="00986528">
      <w:pPr>
        <w:pStyle w:val="Prrafodelista"/>
        <w:rPr>
          <w:rStyle w:val="Hipervnculo"/>
          <w:b/>
          <w:bCs/>
          <w:color w:val="auto"/>
          <w:u w:val="none"/>
        </w:rPr>
      </w:pPr>
    </w:p>
    <w:p w14:paraId="2E2E9D56" w14:textId="208749DE" w:rsidR="003C7D73" w:rsidRDefault="003C7D73" w:rsidP="00986528">
      <w:pPr>
        <w:pStyle w:val="Prrafodelista"/>
        <w:rPr>
          <w:rStyle w:val="Hipervnculo"/>
          <w:b/>
          <w:bCs/>
          <w:color w:val="auto"/>
          <w:u w:val="none"/>
        </w:rPr>
      </w:pPr>
      <w:r>
        <w:rPr>
          <w:rStyle w:val="Hipervnculo"/>
          <w:b/>
          <w:bCs/>
          <w:color w:val="auto"/>
          <w:u w:val="none"/>
        </w:rPr>
        <w:t>Resultados</w:t>
      </w:r>
    </w:p>
    <w:p w14:paraId="0A87A2F1" w14:textId="77777777" w:rsidR="003C7D73" w:rsidRDefault="003C7D73" w:rsidP="00986528">
      <w:pPr>
        <w:pStyle w:val="Prrafodelista"/>
        <w:rPr>
          <w:rStyle w:val="Hipervnculo"/>
          <w:b/>
          <w:bCs/>
          <w:color w:val="auto"/>
          <w:u w:val="none"/>
        </w:rPr>
      </w:pPr>
    </w:p>
    <w:p w14:paraId="1078F581" w14:textId="298C5B2F" w:rsidR="003C7D73" w:rsidRDefault="003C7D73" w:rsidP="00986528">
      <w:pPr>
        <w:pStyle w:val="Prrafodelista"/>
        <w:rPr>
          <w:rStyle w:val="Hipervnculo"/>
          <w:color w:val="auto"/>
          <w:u w:val="none"/>
        </w:rPr>
      </w:pPr>
      <w:r w:rsidRPr="006B7337">
        <w:rPr>
          <w:rStyle w:val="Hipervnculo"/>
          <w:color w:val="auto"/>
          <w:highlight w:val="green"/>
          <w:u w:val="none"/>
        </w:rPr>
        <w:t>La interferencia de ARN (</w:t>
      </w:r>
      <w:proofErr w:type="spellStart"/>
      <w:r w:rsidR="006B7337" w:rsidRPr="006B7337">
        <w:rPr>
          <w:rStyle w:val="Hipervnculo"/>
          <w:color w:val="auto"/>
          <w:highlight w:val="green"/>
          <w:u w:val="none"/>
        </w:rPr>
        <w:t>siRNA</w:t>
      </w:r>
      <w:proofErr w:type="spellEnd"/>
      <w:r w:rsidRPr="006B7337">
        <w:rPr>
          <w:rStyle w:val="Hipervnculo"/>
          <w:color w:val="auto"/>
          <w:highlight w:val="green"/>
          <w:u w:val="none"/>
        </w:rPr>
        <w:t xml:space="preserve">) constituye una poderosa herramienta para silenciar la expresión génica </w:t>
      </w:r>
      <w:proofErr w:type="spellStart"/>
      <w:proofErr w:type="gramStart"/>
      <w:r w:rsidRPr="006B7337">
        <w:rPr>
          <w:rStyle w:val="Hipervnculo"/>
          <w:color w:val="auto"/>
          <w:highlight w:val="green"/>
          <w:u w:val="none"/>
        </w:rPr>
        <w:t>postranscripcionalmente</w:t>
      </w:r>
      <w:proofErr w:type="spellEnd"/>
      <w:r w:rsidRPr="006B7337">
        <w:rPr>
          <w:rStyle w:val="Hipervnculo"/>
          <w:color w:val="auto"/>
          <w:highlight w:val="green"/>
          <w:u w:val="none"/>
        </w:rPr>
        <w:t xml:space="preserve"> .</w:t>
      </w:r>
      <w:proofErr w:type="gramEnd"/>
      <w:r w:rsidRPr="003C7D73">
        <w:rPr>
          <w:rStyle w:val="Hipervnculo"/>
          <w:color w:val="auto"/>
          <w:u w:val="none"/>
        </w:rPr>
        <w:t xml:space="preserve"> Para validar el potencial de los portadores similares a MPG, se investigó la capacidad de MPG y MPG ΔNLS para promover la captación celular de </w:t>
      </w:r>
      <w:proofErr w:type="spellStart"/>
      <w:r w:rsidR="006B7337">
        <w:rPr>
          <w:rStyle w:val="Hipervnculo"/>
          <w:color w:val="auto"/>
          <w:u w:val="none"/>
        </w:rPr>
        <w:t>siRNA</w:t>
      </w:r>
      <w:proofErr w:type="spellEnd"/>
      <w:r w:rsidRPr="003C7D73">
        <w:rPr>
          <w:rStyle w:val="Hipervnculo"/>
          <w:color w:val="auto"/>
          <w:u w:val="none"/>
        </w:rPr>
        <w:t>.</w:t>
      </w:r>
      <w:r w:rsidR="006B7337">
        <w:rPr>
          <w:rStyle w:val="Hipervnculo"/>
          <w:color w:val="auto"/>
          <w:u w:val="none"/>
        </w:rPr>
        <w:t xml:space="preserve"> </w:t>
      </w:r>
      <w:r w:rsidR="006B7337" w:rsidRPr="006B7337">
        <w:rPr>
          <w:rStyle w:val="Hipervnculo"/>
          <w:color w:val="auto"/>
          <w:u w:val="none"/>
        </w:rPr>
        <w:t xml:space="preserve">Los </w:t>
      </w:r>
      <w:proofErr w:type="spellStart"/>
      <w:r w:rsidR="006B7337">
        <w:rPr>
          <w:rStyle w:val="Hipervnculo"/>
          <w:color w:val="auto"/>
          <w:u w:val="none"/>
        </w:rPr>
        <w:t>siRNA</w:t>
      </w:r>
      <w:proofErr w:type="spellEnd"/>
      <w:r w:rsidR="006B7337" w:rsidRPr="006B7337">
        <w:rPr>
          <w:rStyle w:val="Hipervnculo"/>
          <w:color w:val="auto"/>
          <w:u w:val="none"/>
        </w:rPr>
        <w:t xml:space="preserve"> marcados con fluorescencia diseñados para silenciar GAPDH se formaron complejos con MPG y MPG ΔNLS en una proporción molar de 10/1, se incubaron en fibroblastos humanos Hs68 cultivados en presencia de suero durante 30 minutos, después de lo cual se examinó la internalización y localización subcelular del </w:t>
      </w:r>
      <w:proofErr w:type="spellStart"/>
      <w:r w:rsidR="006B7337">
        <w:rPr>
          <w:rStyle w:val="Hipervnculo"/>
          <w:color w:val="auto"/>
          <w:u w:val="none"/>
        </w:rPr>
        <w:t>siRNA</w:t>
      </w:r>
      <w:proofErr w:type="spellEnd"/>
      <w:r w:rsidR="006B7337">
        <w:rPr>
          <w:rStyle w:val="Hipervnculo"/>
          <w:color w:val="auto"/>
          <w:u w:val="none"/>
        </w:rPr>
        <w:t xml:space="preserve">, </w:t>
      </w:r>
      <w:r w:rsidR="006B7337" w:rsidRPr="006B7337">
        <w:rPr>
          <w:rStyle w:val="Hipervnculo"/>
          <w:color w:val="auto"/>
          <w:u w:val="none"/>
        </w:rPr>
        <w:t>mediante microscopía de fluorescencia.</w:t>
      </w:r>
    </w:p>
    <w:p w14:paraId="193D3ECA" w14:textId="77777777" w:rsidR="00510337" w:rsidRDefault="00510337" w:rsidP="00986528">
      <w:pPr>
        <w:pStyle w:val="Prrafodelista"/>
        <w:rPr>
          <w:rStyle w:val="Hipervnculo"/>
          <w:color w:val="auto"/>
          <w:u w:val="none"/>
        </w:rPr>
      </w:pPr>
    </w:p>
    <w:p w14:paraId="23AF3885" w14:textId="6FEB7C7A" w:rsidR="00510337" w:rsidRDefault="00510337" w:rsidP="00986528">
      <w:pPr>
        <w:pStyle w:val="Prrafodelista"/>
        <w:rPr>
          <w:rStyle w:val="Hipervnculo"/>
          <w:color w:val="auto"/>
          <w:u w:val="none"/>
        </w:rPr>
      </w:pPr>
      <w:r w:rsidRPr="00510337">
        <w:rPr>
          <w:rStyle w:val="Hipervnculo"/>
          <w:noProof/>
          <w:color w:val="auto"/>
          <w:u w:val="none"/>
        </w:rPr>
        <w:drawing>
          <wp:inline distT="0" distB="0" distL="0" distR="0" wp14:anchorId="38133714" wp14:editId="5C69C84F">
            <wp:extent cx="5334000" cy="4503420"/>
            <wp:effectExtent l="0" t="0" r="0" b="0"/>
            <wp:docPr id="813179914"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79914" name="Imagen 1" descr="Imagen que contiene Calendario&#10;&#10;Descripción generada automáticamente"/>
                    <pic:cNvPicPr/>
                  </pic:nvPicPr>
                  <pic:blipFill rotWithShape="1">
                    <a:blip r:embed="rId9"/>
                    <a:srcRect l="-282" r="1506" b="1377"/>
                    <a:stretch/>
                  </pic:blipFill>
                  <pic:spPr bwMode="auto">
                    <a:xfrm>
                      <a:off x="0" y="0"/>
                      <a:ext cx="5334000" cy="4503420"/>
                    </a:xfrm>
                    <a:prstGeom prst="rect">
                      <a:avLst/>
                    </a:prstGeom>
                    <a:ln>
                      <a:noFill/>
                    </a:ln>
                    <a:extLst>
                      <a:ext uri="{53640926-AAD7-44D8-BBD7-CCE9431645EC}">
                        <a14:shadowObscured xmlns:a14="http://schemas.microsoft.com/office/drawing/2010/main"/>
                      </a:ext>
                    </a:extLst>
                  </pic:spPr>
                </pic:pic>
              </a:graphicData>
            </a:graphic>
          </wp:inline>
        </w:drawing>
      </w:r>
    </w:p>
    <w:p w14:paraId="0371C5FE" w14:textId="77777777" w:rsidR="000271C8" w:rsidRDefault="000271C8" w:rsidP="00986528">
      <w:pPr>
        <w:pStyle w:val="Prrafodelista"/>
        <w:rPr>
          <w:rStyle w:val="Hipervnculo"/>
          <w:color w:val="auto"/>
          <w:u w:val="none"/>
        </w:rPr>
      </w:pPr>
    </w:p>
    <w:p w14:paraId="74E78D50" w14:textId="2B5F55F8" w:rsidR="000271C8" w:rsidRDefault="000271C8" w:rsidP="00986528">
      <w:pPr>
        <w:pStyle w:val="Prrafodelista"/>
        <w:rPr>
          <w:rStyle w:val="Hipervnculo"/>
          <w:color w:val="auto"/>
          <w:u w:val="none"/>
        </w:rPr>
      </w:pPr>
      <w:r w:rsidRPr="000271C8">
        <w:rPr>
          <w:rStyle w:val="Hipervnculo"/>
          <w:color w:val="auto"/>
          <w:u w:val="none"/>
        </w:rPr>
        <w:t xml:space="preserve">Entrega de </w:t>
      </w:r>
      <w:proofErr w:type="spellStart"/>
      <w:r>
        <w:rPr>
          <w:rStyle w:val="Hipervnculo"/>
          <w:color w:val="auto"/>
          <w:u w:val="none"/>
        </w:rPr>
        <w:t>siRNA</w:t>
      </w:r>
      <w:proofErr w:type="spellEnd"/>
      <w:r w:rsidRPr="000271C8">
        <w:rPr>
          <w:rStyle w:val="Hipervnculo"/>
          <w:color w:val="auto"/>
          <w:u w:val="none"/>
        </w:rPr>
        <w:t xml:space="preserve"> mediada por MPG. Los </w:t>
      </w:r>
      <w:proofErr w:type="spellStart"/>
      <w:r>
        <w:rPr>
          <w:rStyle w:val="Hipervnculo"/>
          <w:color w:val="auto"/>
          <w:u w:val="none"/>
        </w:rPr>
        <w:t>siRNA</w:t>
      </w:r>
      <w:proofErr w:type="spellEnd"/>
      <w:r w:rsidRPr="000271C8">
        <w:rPr>
          <w:rStyle w:val="Hipervnculo"/>
          <w:color w:val="auto"/>
          <w:u w:val="none"/>
        </w:rPr>
        <w:t xml:space="preserve"> diseñados para apuntar a GAPDH se marcaron con fluorescencia utilizando los kits </w:t>
      </w:r>
      <w:proofErr w:type="spellStart"/>
      <w:r w:rsidRPr="000271C8">
        <w:rPr>
          <w:rStyle w:val="Hipervnculo"/>
          <w:color w:val="auto"/>
          <w:u w:val="none"/>
        </w:rPr>
        <w:t>Silence</w:t>
      </w:r>
      <w:proofErr w:type="spellEnd"/>
      <w:r w:rsidRPr="000271C8">
        <w:rPr>
          <w:rStyle w:val="Hipervnculo"/>
          <w:color w:val="auto"/>
          <w:u w:val="none"/>
        </w:rPr>
        <w:t>™ con</w:t>
      </w:r>
      <w:r>
        <w:rPr>
          <w:rStyle w:val="Hipervnculo"/>
          <w:color w:val="auto"/>
          <w:u w:val="none"/>
        </w:rPr>
        <w:t xml:space="preserve"> </w:t>
      </w:r>
      <w:r w:rsidRPr="000271C8">
        <w:rPr>
          <w:rStyle w:val="Hipervnculo"/>
          <w:color w:val="auto"/>
          <w:u w:val="none"/>
        </w:rPr>
        <w:t xml:space="preserve">fluoresceína o Cy3. Los complejos </w:t>
      </w:r>
      <w:proofErr w:type="spellStart"/>
      <w:r w:rsidRPr="000271C8">
        <w:rPr>
          <w:rStyle w:val="Hipervnculo"/>
          <w:color w:val="auto"/>
          <w:u w:val="none"/>
        </w:rPr>
        <w:t>siRNA</w:t>
      </w:r>
      <w:proofErr w:type="spellEnd"/>
      <w:r w:rsidRPr="000271C8">
        <w:rPr>
          <w:rStyle w:val="Hipervnculo"/>
          <w:color w:val="auto"/>
          <w:u w:val="none"/>
        </w:rPr>
        <w:t xml:space="preserve">/MPG (A, B) y </w:t>
      </w:r>
      <w:proofErr w:type="spellStart"/>
      <w:r w:rsidRPr="000271C8">
        <w:rPr>
          <w:rStyle w:val="Hipervnculo"/>
          <w:color w:val="auto"/>
          <w:u w:val="none"/>
        </w:rPr>
        <w:t>siRNA</w:t>
      </w:r>
      <w:proofErr w:type="spellEnd"/>
      <w:r w:rsidRPr="000271C8">
        <w:rPr>
          <w:rStyle w:val="Hipervnculo"/>
          <w:color w:val="auto"/>
          <w:u w:val="none"/>
        </w:rPr>
        <w:t xml:space="preserve">/MPG ΔNLS (C, D) se superpusieron sobre Hs68 cultivado y la localización celular del </w:t>
      </w:r>
      <w:proofErr w:type="spellStart"/>
      <w:r w:rsidRPr="000271C8">
        <w:rPr>
          <w:rStyle w:val="Hipervnculo"/>
          <w:color w:val="auto"/>
          <w:u w:val="none"/>
        </w:rPr>
        <w:t>siRNA</w:t>
      </w:r>
      <w:proofErr w:type="spellEnd"/>
      <w:r w:rsidRPr="000271C8">
        <w:rPr>
          <w:rStyle w:val="Hipervnculo"/>
          <w:color w:val="auto"/>
          <w:u w:val="none"/>
        </w:rPr>
        <w:t xml:space="preserve"> se controló mediante microscopía de fluorescencia en células</w:t>
      </w:r>
      <w:r>
        <w:rPr>
          <w:rStyle w:val="Hipervnculo"/>
          <w:color w:val="auto"/>
          <w:u w:val="none"/>
        </w:rPr>
        <w:t xml:space="preserve"> vivas </w:t>
      </w:r>
      <w:r w:rsidRPr="000271C8">
        <w:rPr>
          <w:rStyle w:val="Hipervnculo"/>
          <w:color w:val="auto"/>
          <w:u w:val="none"/>
        </w:rPr>
        <w:t>1 hora después de la transfección.</w:t>
      </w:r>
    </w:p>
    <w:p w14:paraId="7923F7E7" w14:textId="77777777" w:rsidR="00510337" w:rsidRDefault="00510337" w:rsidP="00986528">
      <w:pPr>
        <w:pStyle w:val="Prrafodelista"/>
        <w:rPr>
          <w:rStyle w:val="Hipervnculo"/>
          <w:color w:val="auto"/>
          <w:u w:val="none"/>
        </w:rPr>
      </w:pPr>
    </w:p>
    <w:p w14:paraId="4EAED0EA" w14:textId="0814231F" w:rsidR="003020D5" w:rsidRDefault="006B7337" w:rsidP="000271C8">
      <w:pPr>
        <w:pStyle w:val="Prrafodelista"/>
        <w:rPr>
          <w:rStyle w:val="Hipervnculo"/>
          <w:color w:val="auto"/>
          <w:u w:val="none"/>
        </w:rPr>
      </w:pPr>
      <w:r>
        <w:rPr>
          <w:rStyle w:val="Hipervnculo"/>
          <w:color w:val="auto"/>
          <w:u w:val="none"/>
        </w:rPr>
        <w:t>A</w:t>
      </w:r>
      <w:r w:rsidRPr="006B7337">
        <w:rPr>
          <w:rStyle w:val="Hipervnculo"/>
          <w:color w:val="auto"/>
          <w:u w:val="none"/>
        </w:rPr>
        <w:t xml:space="preserve">mbos transportadores peptídicos pudieron administrar </w:t>
      </w:r>
      <w:proofErr w:type="spellStart"/>
      <w:r>
        <w:rPr>
          <w:rStyle w:val="Hipervnculo"/>
          <w:color w:val="auto"/>
          <w:u w:val="none"/>
        </w:rPr>
        <w:t>siRNA</w:t>
      </w:r>
      <w:proofErr w:type="spellEnd"/>
      <w:r w:rsidRPr="006B7337">
        <w:rPr>
          <w:rStyle w:val="Hipervnculo"/>
          <w:color w:val="auto"/>
          <w:u w:val="none"/>
        </w:rPr>
        <w:t xml:space="preserve"> en células cultivadas con alta eficiencia (alrededor del 90 % de las células). Curiosamente, la localización subcelular final del </w:t>
      </w:r>
      <w:proofErr w:type="spellStart"/>
      <w:r>
        <w:rPr>
          <w:rStyle w:val="Hipervnculo"/>
          <w:color w:val="auto"/>
          <w:u w:val="none"/>
        </w:rPr>
        <w:t>siRNA</w:t>
      </w:r>
      <w:proofErr w:type="spellEnd"/>
      <w:r w:rsidRPr="006B7337">
        <w:rPr>
          <w:rStyle w:val="Hipervnculo"/>
          <w:color w:val="auto"/>
          <w:u w:val="none"/>
        </w:rPr>
        <w:t xml:space="preserve"> dependía del portador MPG utilizado. El </w:t>
      </w:r>
      <w:proofErr w:type="spellStart"/>
      <w:r>
        <w:rPr>
          <w:rStyle w:val="Hipervnculo"/>
          <w:color w:val="auto"/>
          <w:u w:val="none"/>
        </w:rPr>
        <w:t>siRNA</w:t>
      </w:r>
      <w:proofErr w:type="spellEnd"/>
      <w:r w:rsidRPr="006B7337">
        <w:rPr>
          <w:rStyle w:val="Hipervnculo"/>
          <w:color w:val="auto"/>
          <w:u w:val="none"/>
        </w:rPr>
        <w:t xml:space="preserve"> marcado con fluorescencia se localizó rápidamente en el núcleo cuando se </w:t>
      </w:r>
      <w:proofErr w:type="spellStart"/>
      <w:r w:rsidRPr="006B7337">
        <w:rPr>
          <w:rStyle w:val="Hipervnculo"/>
          <w:color w:val="auto"/>
          <w:u w:val="none"/>
        </w:rPr>
        <w:t>transfectó</w:t>
      </w:r>
      <w:proofErr w:type="spellEnd"/>
      <w:r w:rsidRPr="006B7337">
        <w:rPr>
          <w:rStyle w:val="Hipervnculo"/>
          <w:color w:val="auto"/>
          <w:u w:val="none"/>
        </w:rPr>
        <w:t xml:space="preserve"> con MPG, pero permaneció principalmente en el citoplasma cuando se </w:t>
      </w:r>
      <w:proofErr w:type="spellStart"/>
      <w:r w:rsidRPr="006B7337">
        <w:rPr>
          <w:rStyle w:val="Hipervnculo"/>
          <w:color w:val="auto"/>
          <w:u w:val="none"/>
        </w:rPr>
        <w:lastRenderedPageBreak/>
        <w:t>transfectó</w:t>
      </w:r>
      <w:proofErr w:type="spellEnd"/>
      <w:r w:rsidRPr="006B7337">
        <w:rPr>
          <w:rStyle w:val="Hipervnculo"/>
          <w:color w:val="auto"/>
          <w:u w:val="none"/>
        </w:rPr>
        <w:t xml:space="preserve"> con MPGΔNLS.</w:t>
      </w:r>
      <w:r>
        <w:rPr>
          <w:rStyle w:val="Hipervnculo"/>
          <w:color w:val="auto"/>
          <w:u w:val="none"/>
        </w:rPr>
        <w:t xml:space="preserve"> </w:t>
      </w:r>
      <w:r w:rsidRPr="006B7337">
        <w:rPr>
          <w:rStyle w:val="Hipervnculo"/>
          <w:color w:val="auto"/>
          <w:u w:val="none"/>
        </w:rPr>
        <w:t xml:space="preserve">Además, estos experimentos demuestran que la administración de </w:t>
      </w:r>
      <w:proofErr w:type="spellStart"/>
      <w:r w:rsidR="000271C8">
        <w:rPr>
          <w:rStyle w:val="Hipervnculo"/>
          <w:color w:val="auto"/>
          <w:u w:val="none"/>
        </w:rPr>
        <w:t>siRNA</w:t>
      </w:r>
      <w:proofErr w:type="spellEnd"/>
      <w:r w:rsidRPr="006B7337">
        <w:rPr>
          <w:rStyle w:val="Hipervnculo"/>
          <w:color w:val="auto"/>
          <w:u w:val="none"/>
        </w:rPr>
        <w:t xml:space="preserve"> mediada por MPG es independiente de la presencia de suero.</w:t>
      </w:r>
    </w:p>
    <w:p w14:paraId="5549818C" w14:textId="77777777" w:rsidR="000271C8" w:rsidRDefault="000271C8" w:rsidP="000271C8">
      <w:pPr>
        <w:pStyle w:val="Prrafodelista"/>
        <w:rPr>
          <w:rStyle w:val="Hipervnculo"/>
          <w:color w:val="auto"/>
          <w:u w:val="none"/>
        </w:rPr>
      </w:pPr>
    </w:p>
    <w:p w14:paraId="31FDEAAF" w14:textId="6186A71D" w:rsidR="000271C8" w:rsidRDefault="000271C8" w:rsidP="000271C8">
      <w:pPr>
        <w:pStyle w:val="Prrafodelista"/>
        <w:rPr>
          <w:rStyle w:val="Hipervnculo"/>
          <w:color w:val="auto"/>
          <w:u w:val="none"/>
        </w:rPr>
      </w:pPr>
      <w:r w:rsidRPr="000271C8">
        <w:rPr>
          <w:rStyle w:val="Hipervnculo"/>
          <w:noProof/>
          <w:color w:val="auto"/>
          <w:u w:val="none"/>
        </w:rPr>
        <w:drawing>
          <wp:inline distT="0" distB="0" distL="0" distR="0" wp14:anchorId="05C5FB59" wp14:editId="35700783">
            <wp:extent cx="5006340" cy="3703320"/>
            <wp:effectExtent l="0" t="0" r="3810" b="0"/>
            <wp:docPr id="162922916" name="Imagen 1" descr="Dibujo de ingenierí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2916" name="Imagen 1" descr="Dibujo de ingeniería&#10;&#10;Descripción generada automáticamente con confianza media"/>
                    <pic:cNvPicPr/>
                  </pic:nvPicPr>
                  <pic:blipFill rotWithShape="1">
                    <a:blip r:embed="rId10"/>
                    <a:srcRect l="2257" t="1336" r="5033" b="5930"/>
                    <a:stretch/>
                  </pic:blipFill>
                  <pic:spPr bwMode="auto">
                    <a:xfrm>
                      <a:off x="0" y="0"/>
                      <a:ext cx="5006340" cy="3703320"/>
                    </a:xfrm>
                    <a:prstGeom prst="rect">
                      <a:avLst/>
                    </a:prstGeom>
                    <a:ln>
                      <a:noFill/>
                    </a:ln>
                    <a:extLst>
                      <a:ext uri="{53640926-AAD7-44D8-BBD7-CCE9431645EC}">
                        <a14:shadowObscured xmlns:a14="http://schemas.microsoft.com/office/drawing/2010/main"/>
                      </a:ext>
                    </a:extLst>
                  </pic:spPr>
                </pic:pic>
              </a:graphicData>
            </a:graphic>
          </wp:inline>
        </w:drawing>
      </w:r>
    </w:p>
    <w:p w14:paraId="4FD2AA35" w14:textId="28F19A77" w:rsidR="000271C8" w:rsidRPr="0049282C" w:rsidRDefault="000271C8" w:rsidP="000271C8">
      <w:pPr>
        <w:pStyle w:val="Prrafodelista"/>
        <w:rPr>
          <w:rStyle w:val="Hipervnculo"/>
          <w:b/>
          <w:bCs/>
          <w:color w:val="auto"/>
          <w:u w:val="none"/>
        </w:rPr>
      </w:pPr>
      <w:r w:rsidRPr="0049282C">
        <w:rPr>
          <w:rStyle w:val="Hipervnculo"/>
          <w:b/>
          <w:bCs/>
          <w:color w:val="auto"/>
          <w:u w:val="none"/>
        </w:rPr>
        <w:t>PARTE A</w:t>
      </w:r>
    </w:p>
    <w:p w14:paraId="274D29AD" w14:textId="169AE868" w:rsidR="000271C8" w:rsidRDefault="000271C8" w:rsidP="000271C8">
      <w:pPr>
        <w:pStyle w:val="Prrafodelista"/>
        <w:rPr>
          <w:rStyle w:val="Hipervnculo"/>
          <w:color w:val="auto"/>
          <w:u w:val="none"/>
        </w:rPr>
      </w:pPr>
      <w:r w:rsidRPr="000271C8">
        <w:rPr>
          <w:rStyle w:val="Hipervnculo"/>
          <w:color w:val="auto"/>
          <w:u w:val="none"/>
        </w:rPr>
        <w:t xml:space="preserve">La entrega de </w:t>
      </w:r>
      <w:proofErr w:type="spellStart"/>
      <w:r>
        <w:rPr>
          <w:rStyle w:val="Hipervnculo"/>
          <w:color w:val="auto"/>
          <w:u w:val="none"/>
        </w:rPr>
        <w:t>siRNA</w:t>
      </w:r>
      <w:proofErr w:type="spellEnd"/>
      <w:r w:rsidRPr="000271C8">
        <w:rPr>
          <w:rStyle w:val="Hipervnculo"/>
          <w:color w:val="auto"/>
          <w:u w:val="none"/>
        </w:rPr>
        <w:t xml:space="preserve"> mediada por MPG induce una respuesta biológica sólida. Administración mediada por A/MPG de </w:t>
      </w:r>
      <w:proofErr w:type="spellStart"/>
      <w:r w:rsidRPr="000271C8">
        <w:rPr>
          <w:rStyle w:val="Hipervnculo"/>
          <w:color w:val="auto"/>
          <w:u w:val="none"/>
        </w:rPr>
        <w:t>ARNip</w:t>
      </w:r>
      <w:proofErr w:type="spellEnd"/>
      <w:r w:rsidRPr="000271C8">
        <w:rPr>
          <w:rStyle w:val="Hipervnculo"/>
          <w:color w:val="auto"/>
          <w:u w:val="none"/>
        </w:rPr>
        <w:t xml:space="preserve"> dirigido al gen de la </w:t>
      </w:r>
      <w:proofErr w:type="spellStart"/>
      <w:r w:rsidRPr="000271C8">
        <w:rPr>
          <w:rStyle w:val="Hipervnculo"/>
          <w:color w:val="auto"/>
          <w:u w:val="none"/>
        </w:rPr>
        <w:t>luciferasa</w:t>
      </w:r>
      <w:proofErr w:type="spellEnd"/>
      <w:r w:rsidRPr="000271C8">
        <w:rPr>
          <w:rStyle w:val="Hipervnculo"/>
          <w:color w:val="auto"/>
          <w:u w:val="none"/>
        </w:rPr>
        <w:t>.</w:t>
      </w:r>
      <w:r>
        <w:rPr>
          <w:rStyle w:val="Hipervnculo"/>
          <w:color w:val="auto"/>
          <w:u w:val="none"/>
        </w:rPr>
        <w:t xml:space="preserve"> </w:t>
      </w:r>
      <w:r w:rsidRPr="000271C8">
        <w:rPr>
          <w:rStyle w:val="Hipervnculo"/>
          <w:color w:val="auto"/>
          <w:u w:val="none"/>
        </w:rPr>
        <w:t xml:space="preserve">La actividad </w:t>
      </w:r>
      <w:proofErr w:type="spellStart"/>
      <w:r w:rsidRPr="000271C8">
        <w:rPr>
          <w:rStyle w:val="Hipervnculo"/>
          <w:color w:val="auto"/>
          <w:u w:val="none"/>
        </w:rPr>
        <w:t>luciferasa</w:t>
      </w:r>
      <w:proofErr w:type="spellEnd"/>
      <w:r w:rsidRPr="000271C8">
        <w:rPr>
          <w:rStyle w:val="Hipervnculo"/>
          <w:color w:val="auto"/>
          <w:u w:val="none"/>
        </w:rPr>
        <w:t xml:space="preserve"> se midió 48 horas después de la transfección. Las</w:t>
      </w:r>
      <w:r>
        <w:rPr>
          <w:rStyle w:val="Hipervnculo"/>
          <w:color w:val="auto"/>
          <w:u w:val="none"/>
        </w:rPr>
        <w:t xml:space="preserve"> </w:t>
      </w:r>
      <w:r w:rsidRPr="000271C8">
        <w:rPr>
          <w:rStyle w:val="Hipervnculo"/>
          <w:color w:val="auto"/>
          <w:u w:val="none"/>
        </w:rPr>
        <w:t xml:space="preserve">transfecciones también se realizaron con </w:t>
      </w:r>
      <w:proofErr w:type="spellStart"/>
      <w:r w:rsidRPr="000271C8">
        <w:rPr>
          <w:rStyle w:val="Hipervnculo"/>
          <w:color w:val="auto"/>
          <w:u w:val="none"/>
        </w:rPr>
        <w:t>Oligofectamine</w:t>
      </w:r>
      <w:proofErr w:type="spellEnd"/>
      <w:r w:rsidRPr="000271C8">
        <w:rPr>
          <w:rStyle w:val="Hipervnculo"/>
          <w:color w:val="auto"/>
          <w:u w:val="none"/>
        </w:rPr>
        <w:t xml:space="preserve">™ como estándar. Los experimentos de control se realizaron con </w:t>
      </w:r>
      <w:proofErr w:type="spellStart"/>
      <w:r>
        <w:rPr>
          <w:rStyle w:val="Hipervnculo"/>
          <w:color w:val="auto"/>
          <w:u w:val="none"/>
        </w:rPr>
        <w:t>siRNA</w:t>
      </w:r>
      <w:proofErr w:type="spellEnd"/>
      <w:r w:rsidRPr="000271C8">
        <w:rPr>
          <w:rStyle w:val="Hipervnculo"/>
          <w:color w:val="auto"/>
          <w:u w:val="none"/>
        </w:rPr>
        <w:t xml:space="preserve"> desnudo o utilizando un </w:t>
      </w:r>
      <w:proofErr w:type="spellStart"/>
      <w:r>
        <w:rPr>
          <w:rStyle w:val="Hipervnculo"/>
          <w:color w:val="auto"/>
          <w:u w:val="none"/>
        </w:rPr>
        <w:t>siRNA</w:t>
      </w:r>
      <w:proofErr w:type="spellEnd"/>
      <w:r w:rsidRPr="000271C8">
        <w:rPr>
          <w:rStyle w:val="Hipervnculo"/>
          <w:color w:val="auto"/>
          <w:u w:val="none"/>
        </w:rPr>
        <w:t xml:space="preserve"> no coincidente (barras discontinuas).</w:t>
      </w:r>
    </w:p>
    <w:p w14:paraId="19B2B20C" w14:textId="0E80BAAB" w:rsidR="006402EE" w:rsidRPr="0049282C" w:rsidRDefault="000271C8" w:rsidP="0049282C">
      <w:pPr>
        <w:pStyle w:val="Prrafodelista"/>
        <w:rPr>
          <w:rStyle w:val="Hipervnculo"/>
          <w:b/>
          <w:bCs/>
          <w:color w:val="auto"/>
          <w:u w:val="none"/>
        </w:rPr>
      </w:pPr>
      <w:r w:rsidRPr="0049282C">
        <w:rPr>
          <w:rStyle w:val="Hipervnculo"/>
          <w:b/>
          <w:bCs/>
          <w:color w:val="auto"/>
          <w:u w:val="none"/>
        </w:rPr>
        <w:t>PARTE B</w:t>
      </w:r>
    </w:p>
    <w:p w14:paraId="5C443F0D" w14:textId="2B4410BB" w:rsidR="0049282C" w:rsidRDefault="0049282C" w:rsidP="0049282C">
      <w:pPr>
        <w:pStyle w:val="Prrafodelista"/>
        <w:rPr>
          <w:rStyle w:val="Hipervnculo"/>
          <w:color w:val="auto"/>
          <w:u w:val="none"/>
        </w:rPr>
      </w:pPr>
      <w:r w:rsidRPr="0049282C">
        <w:rPr>
          <w:rStyle w:val="Hipervnculo"/>
          <w:color w:val="auto"/>
          <w:u w:val="none"/>
        </w:rPr>
        <w:t xml:space="preserve">Entrega mediada por B/MPG de </w:t>
      </w:r>
      <w:proofErr w:type="spellStart"/>
      <w:r>
        <w:rPr>
          <w:rStyle w:val="Hipervnculo"/>
          <w:color w:val="auto"/>
          <w:u w:val="none"/>
        </w:rPr>
        <w:t>siRNA</w:t>
      </w:r>
      <w:proofErr w:type="spellEnd"/>
      <w:r w:rsidRPr="0049282C">
        <w:rPr>
          <w:rStyle w:val="Hipervnculo"/>
          <w:color w:val="auto"/>
          <w:u w:val="none"/>
        </w:rPr>
        <w:t xml:space="preserve"> dirigido al gen GAPDH: análisis de transferencia Western. Se </w:t>
      </w:r>
      <w:proofErr w:type="spellStart"/>
      <w:r w:rsidRPr="0049282C">
        <w:rPr>
          <w:rStyle w:val="Hipervnculo"/>
          <w:color w:val="auto"/>
          <w:u w:val="none"/>
        </w:rPr>
        <w:t>transfectaron</w:t>
      </w:r>
      <w:proofErr w:type="spellEnd"/>
      <w:r w:rsidRPr="0049282C">
        <w:rPr>
          <w:rStyle w:val="Hipervnculo"/>
          <w:color w:val="auto"/>
          <w:u w:val="none"/>
        </w:rPr>
        <w:t xml:space="preserve"> diferentes concentraciones de </w:t>
      </w:r>
      <w:proofErr w:type="spellStart"/>
      <w:r>
        <w:rPr>
          <w:rStyle w:val="Hipervnculo"/>
          <w:color w:val="auto"/>
          <w:u w:val="none"/>
        </w:rPr>
        <w:t>siRNA</w:t>
      </w:r>
      <w:proofErr w:type="spellEnd"/>
      <w:r w:rsidRPr="0049282C">
        <w:rPr>
          <w:rStyle w:val="Hipervnculo"/>
          <w:color w:val="auto"/>
          <w:u w:val="none"/>
        </w:rPr>
        <w:t xml:space="preserve"> (25, 50, 100 </w:t>
      </w:r>
      <w:proofErr w:type="spellStart"/>
      <w:r w:rsidRPr="0049282C">
        <w:rPr>
          <w:rStyle w:val="Hipervnculo"/>
          <w:color w:val="auto"/>
          <w:u w:val="none"/>
        </w:rPr>
        <w:t>nM</w:t>
      </w:r>
      <w:proofErr w:type="spellEnd"/>
      <w:r w:rsidRPr="0049282C">
        <w:rPr>
          <w:rStyle w:val="Hipervnculo"/>
          <w:color w:val="auto"/>
          <w:u w:val="none"/>
        </w:rPr>
        <w:t>) con MPG o MPGΔNLS y los niveles de proteína GAPDH se analizaron mediante transferencia Western 30 horas después de la transfección. Se utilizó actina como control para normalizar la carga de proteínas.</w:t>
      </w:r>
    </w:p>
    <w:p w14:paraId="2E1F817D" w14:textId="3D59C7DD" w:rsidR="0049282C" w:rsidRPr="0049282C" w:rsidRDefault="0049282C" w:rsidP="0049282C">
      <w:pPr>
        <w:pStyle w:val="Prrafodelista"/>
        <w:rPr>
          <w:rStyle w:val="Hipervnculo"/>
          <w:b/>
          <w:bCs/>
          <w:color w:val="auto"/>
          <w:u w:val="none"/>
        </w:rPr>
      </w:pPr>
      <w:r w:rsidRPr="0049282C">
        <w:rPr>
          <w:rStyle w:val="Hipervnculo"/>
          <w:b/>
          <w:bCs/>
          <w:color w:val="auto"/>
          <w:u w:val="none"/>
        </w:rPr>
        <w:t>PARTE C</w:t>
      </w:r>
    </w:p>
    <w:p w14:paraId="3B644422" w14:textId="6B532BD6" w:rsidR="0049282C" w:rsidRDefault="0049282C" w:rsidP="0049282C">
      <w:pPr>
        <w:pStyle w:val="Prrafodelista"/>
        <w:rPr>
          <w:rStyle w:val="Hipervnculo"/>
          <w:color w:val="auto"/>
          <w:u w:val="none"/>
        </w:rPr>
      </w:pPr>
      <w:r w:rsidRPr="0049282C">
        <w:rPr>
          <w:rStyle w:val="Hipervnculo"/>
          <w:color w:val="auto"/>
          <w:u w:val="none"/>
        </w:rPr>
        <w:t xml:space="preserve">Entrega mediada por C/MPG de </w:t>
      </w:r>
      <w:proofErr w:type="spellStart"/>
      <w:r w:rsidRPr="0049282C">
        <w:rPr>
          <w:rStyle w:val="Hipervnculo"/>
          <w:color w:val="auto"/>
          <w:u w:val="none"/>
        </w:rPr>
        <w:t>ARNip</w:t>
      </w:r>
      <w:proofErr w:type="spellEnd"/>
      <w:r w:rsidRPr="0049282C">
        <w:rPr>
          <w:rStyle w:val="Hipervnculo"/>
          <w:color w:val="auto"/>
          <w:u w:val="none"/>
        </w:rPr>
        <w:t xml:space="preserve"> dirigido al gen GAPDH: análisis de transferencia </w:t>
      </w:r>
      <w:proofErr w:type="spellStart"/>
      <w:r w:rsidRPr="0049282C">
        <w:rPr>
          <w:rStyle w:val="Hipervnculo"/>
          <w:color w:val="auto"/>
          <w:u w:val="none"/>
        </w:rPr>
        <w:t>Northern</w:t>
      </w:r>
      <w:proofErr w:type="spellEnd"/>
      <w:r w:rsidRPr="0049282C">
        <w:rPr>
          <w:rStyle w:val="Hipervnculo"/>
          <w:color w:val="auto"/>
          <w:u w:val="none"/>
        </w:rPr>
        <w:t xml:space="preserve">. La cinética de la degradación inducida por </w:t>
      </w:r>
      <w:proofErr w:type="spellStart"/>
      <w:r w:rsidRPr="0049282C">
        <w:rPr>
          <w:rStyle w:val="Hipervnculo"/>
          <w:color w:val="auto"/>
          <w:u w:val="none"/>
        </w:rPr>
        <w:t>ARNip</w:t>
      </w:r>
      <w:proofErr w:type="spellEnd"/>
      <w:r w:rsidRPr="0049282C">
        <w:rPr>
          <w:rStyle w:val="Hipervnculo"/>
          <w:color w:val="auto"/>
          <w:u w:val="none"/>
        </w:rPr>
        <w:t xml:space="preserve"> (50 </w:t>
      </w:r>
      <w:proofErr w:type="spellStart"/>
      <w:r w:rsidRPr="0049282C">
        <w:rPr>
          <w:rStyle w:val="Hipervnculo"/>
          <w:color w:val="auto"/>
          <w:u w:val="none"/>
        </w:rPr>
        <w:t>nM</w:t>
      </w:r>
      <w:proofErr w:type="spellEnd"/>
      <w:r w:rsidRPr="0049282C">
        <w:rPr>
          <w:rStyle w:val="Hipervnculo"/>
          <w:color w:val="auto"/>
          <w:u w:val="none"/>
        </w:rPr>
        <w:t xml:space="preserve">) del ARNm de GAPDH después de la transfección con MPG o MPG ΔNLS se analizó mediante transferencia </w:t>
      </w:r>
      <w:proofErr w:type="spellStart"/>
      <w:r w:rsidRPr="0049282C">
        <w:rPr>
          <w:rStyle w:val="Hipervnculo"/>
          <w:color w:val="auto"/>
          <w:u w:val="none"/>
        </w:rPr>
        <w:t>Northern</w:t>
      </w:r>
      <w:proofErr w:type="spellEnd"/>
      <w:r w:rsidRPr="0049282C">
        <w:rPr>
          <w:rStyle w:val="Hipervnculo"/>
          <w:color w:val="auto"/>
          <w:u w:val="none"/>
        </w:rPr>
        <w:t>. Se utilizó actina como control para normalizar los niveles de ARNm en cada muestra.</w:t>
      </w:r>
    </w:p>
    <w:p w14:paraId="66EEF607" w14:textId="2E9EA625" w:rsidR="0049282C" w:rsidRDefault="0049282C" w:rsidP="0049282C">
      <w:pPr>
        <w:pStyle w:val="Prrafodelista"/>
        <w:rPr>
          <w:rStyle w:val="Hipervnculo"/>
          <w:b/>
          <w:bCs/>
          <w:color w:val="auto"/>
          <w:u w:val="none"/>
        </w:rPr>
      </w:pPr>
      <w:r w:rsidRPr="0049282C">
        <w:rPr>
          <w:rStyle w:val="Hipervnculo"/>
          <w:b/>
          <w:bCs/>
          <w:color w:val="auto"/>
          <w:u w:val="none"/>
        </w:rPr>
        <w:t>Resultados</w:t>
      </w:r>
    </w:p>
    <w:p w14:paraId="3E955D57" w14:textId="26368799" w:rsidR="0049282C" w:rsidRDefault="0049282C" w:rsidP="0049282C">
      <w:pPr>
        <w:pStyle w:val="Prrafodelista"/>
        <w:rPr>
          <w:rStyle w:val="Hipervnculo"/>
          <w:color w:val="auto"/>
          <w:u w:val="none"/>
        </w:rPr>
      </w:pPr>
      <w:r>
        <w:rPr>
          <w:rStyle w:val="Hipervnculo"/>
          <w:color w:val="auto"/>
          <w:u w:val="none"/>
        </w:rPr>
        <w:t>S</w:t>
      </w:r>
      <w:r w:rsidRPr="0049282C">
        <w:rPr>
          <w:rStyle w:val="Hipervnculo"/>
          <w:color w:val="auto"/>
          <w:u w:val="none"/>
        </w:rPr>
        <w:t xml:space="preserve">e investigó la respuesta biológica de la administración de </w:t>
      </w:r>
      <w:proofErr w:type="spellStart"/>
      <w:r>
        <w:rPr>
          <w:rStyle w:val="Hipervnculo"/>
          <w:color w:val="auto"/>
          <w:u w:val="none"/>
        </w:rPr>
        <w:t>siRNA</w:t>
      </w:r>
      <w:proofErr w:type="spellEnd"/>
      <w:r w:rsidRPr="0049282C">
        <w:rPr>
          <w:rStyle w:val="Hipervnculo"/>
          <w:color w:val="auto"/>
          <w:u w:val="none"/>
        </w:rPr>
        <w:t xml:space="preserve"> mediada por MPG. Se realizaron dos series de experimentos. Primero, el protocolo descrito por </w:t>
      </w:r>
      <w:proofErr w:type="spellStart"/>
      <w:r w:rsidRPr="0049282C">
        <w:rPr>
          <w:rStyle w:val="Hipervnculo"/>
          <w:color w:val="auto"/>
          <w:u w:val="none"/>
        </w:rPr>
        <w:t>Elbashir</w:t>
      </w:r>
      <w:proofErr w:type="spellEnd"/>
      <w:r w:rsidRPr="0049282C">
        <w:rPr>
          <w:rStyle w:val="Hipervnculo"/>
          <w:color w:val="auto"/>
          <w:u w:val="none"/>
        </w:rPr>
        <w:t xml:space="preserve"> et al. (28): se utilizaron células Hela y Cos-7 </w:t>
      </w:r>
      <w:proofErr w:type="spellStart"/>
      <w:r w:rsidRPr="0049282C">
        <w:rPr>
          <w:rStyle w:val="Hipervnculo"/>
          <w:color w:val="auto"/>
          <w:u w:val="none"/>
        </w:rPr>
        <w:t>transfectadas</w:t>
      </w:r>
      <w:proofErr w:type="spellEnd"/>
      <w:r w:rsidRPr="0049282C">
        <w:rPr>
          <w:rStyle w:val="Hipervnculo"/>
          <w:color w:val="auto"/>
          <w:u w:val="none"/>
        </w:rPr>
        <w:t xml:space="preserve"> con el plásmido que codifica el gen indicador </w:t>
      </w:r>
      <w:proofErr w:type="spellStart"/>
      <w:r w:rsidRPr="0049282C">
        <w:rPr>
          <w:rStyle w:val="Hipervnculo"/>
          <w:color w:val="auto"/>
          <w:u w:val="none"/>
        </w:rPr>
        <w:t>luciferasa</w:t>
      </w:r>
      <w:proofErr w:type="spellEnd"/>
      <w:r w:rsidRPr="0049282C">
        <w:rPr>
          <w:rStyle w:val="Hipervnculo"/>
          <w:color w:val="auto"/>
          <w:u w:val="none"/>
        </w:rPr>
        <w:t xml:space="preserve"> con complejos ΔNLS de </w:t>
      </w:r>
      <w:proofErr w:type="spellStart"/>
      <w:r>
        <w:rPr>
          <w:rStyle w:val="Hipervnculo"/>
          <w:color w:val="auto"/>
          <w:u w:val="none"/>
        </w:rPr>
        <w:lastRenderedPageBreak/>
        <w:t>siRNA</w:t>
      </w:r>
      <w:proofErr w:type="spellEnd"/>
      <w:r w:rsidRPr="0049282C">
        <w:rPr>
          <w:rStyle w:val="Hipervnculo"/>
          <w:color w:val="auto"/>
          <w:u w:val="none"/>
        </w:rPr>
        <w:t xml:space="preserve">/MPG o </w:t>
      </w:r>
      <w:proofErr w:type="spellStart"/>
      <w:r>
        <w:rPr>
          <w:rStyle w:val="Hipervnculo"/>
          <w:color w:val="auto"/>
          <w:u w:val="none"/>
        </w:rPr>
        <w:t>siRNA</w:t>
      </w:r>
      <w:proofErr w:type="spellEnd"/>
      <w:r w:rsidRPr="0049282C">
        <w:rPr>
          <w:rStyle w:val="Hipervnculo"/>
          <w:color w:val="auto"/>
          <w:u w:val="none"/>
        </w:rPr>
        <w:t xml:space="preserve">/MPG en los que el </w:t>
      </w:r>
      <w:proofErr w:type="spellStart"/>
      <w:r>
        <w:rPr>
          <w:rStyle w:val="Hipervnculo"/>
          <w:color w:val="auto"/>
          <w:u w:val="none"/>
        </w:rPr>
        <w:t>siRNA</w:t>
      </w:r>
      <w:proofErr w:type="spellEnd"/>
      <w:r w:rsidRPr="0049282C">
        <w:rPr>
          <w:rStyle w:val="Hipervnculo"/>
          <w:color w:val="auto"/>
          <w:u w:val="none"/>
        </w:rPr>
        <w:t xml:space="preserve"> se diseñó para silenciar la </w:t>
      </w:r>
      <w:proofErr w:type="spellStart"/>
      <w:r w:rsidRPr="0049282C">
        <w:rPr>
          <w:rStyle w:val="Hipervnculo"/>
          <w:color w:val="auto"/>
          <w:u w:val="none"/>
        </w:rPr>
        <w:t>luciferasa</w:t>
      </w:r>
      <w:proofErr w:type="spellEnd"/>
      <w:r w:rsidRPr="0049282C">
        <w:rPr>
          <w:rStyle w:val="Hipervnculo"/>
          <w:color w:val="auto"/>
          <w:u w:val="none"/>
        </w:rPr>
        <w:t xml:space="preserve"> y se midió la actividad de la </w:t>
      </w:r>
      <w:proofErr w:type="spellStart"/>
      <w:r w:rsidRPr="0049282C">
        <w:rPr>
          <w:rStyle w:val="Hipervnculo"/>
          <w:color w:val="auto"/>
          <w:u w:val="none"/>
        </w:rPr>
        <w:t>luciferasa</w:t>
      </w:r>
      <w:proofErr w:type="spellEnd"/>
      <w:r w:rsidRPr="0049282C">
        <w:rPr>
          <w:rStyle w:val="Hipervnculo"/>
          <w:color w:val="auto"/>
          <w:u w:val="none"/>
        </w:rPr>
        <w:t xml:space="preserve"> 48 horas después</w:t>
      </w:r>
      <w:proofErr w:type="gramStart"/>
      <w:r w:rsidRPr="0049282C">
        <w:rPr>
          <w:rStyle w:val="Hipervnculo"/>
          <w:color w:val="auto"/>
          <w:u w:val="none"/>
        </w:rPr>
        <w:t>. .</w:t>
      </w:r>
      <w:proofErr w:type="gramEnd"/>
      <w:r w:rsidRPr="0049282C">
        <w:rPr>
          <w:rStyle w:val="Hipervnculo"/>
          <w:color w:val="auto"/>
          <w:u w:val="none"/>
        </w:rPr>
        <w:t xml:space="preserve"> El </w:t>
      </w:r>
      <w:proofErr w:type="spellStart"/>
      <w:r>
        <w:rPr>
          <w:rStyle w:val="Hipervnculo"/>
          <w:color w:val="auto"/>
          <w:u w:val="none"/>
        </w:rPr>
        <w:t>siRNA</w:t>
      </w:r>
      <w:proofErr w:type="spellEnd"/>
      <w:r w:rsidRPr="0049282C">
        <w:rPr>
          <w:rStyle w:val="Hipervnculo"/>
          <w:color w:val="auto"/>
          <w:u w:val="none"/>
        </w:rPr>
        <w:t xml:space="preserve"> 50 </w:t>
      </w:r>
      <w:proofErr w:type="spellStart"/>
      <w:r w:rsidRPr="0049282C">
        <w:rPr>
          <w:rStyle w:val="Hipervnculo"/>
          <w:color w:val="auto"/>
          <w:u w:val="none"/>
        </w:rPr>
        <w:t>nM</w:t>
      </w:r>
      <w:proofErr w:type="spellEnd"/>
      <w:r w:rsidRPr="0049282C">
        <w:rPr>
          <w:rStyle w:val="Hipervnculo"/>
          <w:color w:val="auto"/>
          <w:u w:val="none"/>
        </w:rPr>
        <w:t xml:space="preserve"> se asoció con MPG o MPGΔNLS en una relación de carga de 10/1. Como control, la transfección de </w:t>
      </w:r>
      <w:proofErr w:type="spellStart"/>
      <w:r>
        <w:rPr>
          <w:rStyle w:val="Hipervnculo"/>
          <w:color w:val="auto"/>
          <w:u w:val="none"/>
        </w:rPr>
        <w:t>siRNA</w:t>
      </w:r>
      <w:r w:rsidRPr="0049282C">
        <w:rPr>
          <w:rStyle w:val="Hipervnculo"/>
          <w:color w:val="auto"/>
          <w:u w:val="none"/>
        </w:rPr>
        <w:t>p</w:t>
      </w:r>
      <w:proofErr w:type="spellEnd"/>
      <w:r w:rsidRPr="0049282C">
        <w:rPr>
          <w:rStyle w:val="Hipervnculo"/>
          <w:color w:val="auto"/>
          <w:u w:val="none"/>
        </w:rPr>
        <w:t xml:space="preserve"> se realizó con el sistema de administración basado en lípidos </w:t>
      </w:r>
      <w:proofErr w:type="spellStart"/>
      <w:r w:rsidRPr="0049282C">
        <w:rPr>
          <w:rStyle w:val="Hipervnculo"/>
          <w:color w:val="auto"/>
          <w:u w:val="none"/>
        </w:rPr>
        <w:t>Oligofectamine</w:t>
      </w:r>
      <w:proofErr w:type="spellEnd"/>
      <w:r w:rsidRPr="0049282C">
        <w:rPr>
          <w:rStyle w:val="Hipervnculo"/>
          <w:color w:val="auto"/>
          <w:u w:val="none"/>
        </w:rPr>
        <w:t xml:space="preserve">™ disponible comercialmente. La administración de </w:t>
      </w:r>
      <w:proofErr w:type="spellStart"/>
      <w:r>
        <w:rPr>
          <w:rStyle w:val="Hipervnculo"/>
          <w:color w:val="auto"/>
          <w:u w:val="none"/>
        </w:rPr>
        <w:t>siRNA</w:t>
      </w:r>
      <w:proofErr w:type="spellEnd"/>
      <w:r w:rsidRPr="0049282C">
        <w:rPr>
          <w:rStyle w:val="Hipervnculo"/>
          <w:color w:val="auto"/>
          <w:u w:val="none"/>
        </w:rPr>
        <w:t xml:space="preserve"> mediada por MPG produjo una disminución del 78% y 85% de la actividad de </w:t>
      </w:r>
      <w:proofErr w:type="spellStart"/>
      <w:r w:rsidRPr="0049282C">
        <w:rPr>
          <w:rStyle w:val="Hipervnculo"/>
          <w:color w:val="auto"/>
          <w:u w:val="none"/>
        </w:rPr>
        <w:t>luciferasa</w:t>
      </w:r>
      <w:proofErr w:type="spellEnd"/>
      <w:r w:rsidRPr="0049282C">
        <w:rPr>
          <w:rStyle w:val="Hipervnculo"/>
          <w:color w:val="auto"/>
          <w:u w:val="none"/>
        </w:rPr>
        <w:t xml:space="preserve"> en células Cos-7 y </w:t>
      </w:r>
      <w:proofErr w:type="spellStart"/>
      <w:r w:rsidRPr="0049282C">
        <w:rPr>
          <w:rStyle w:val="Hipervnculo"/>
          <w:color w:val="auto"/>
          <w:u w:val="none"/>
        </w:rPr>
        <w:t>HeLa</w:t>
      </w:r>
      <w:proofErr w:type="spellEnd"/>
      <w:r w:rsidRPr="0049282C">
        <w:rPr>
          <w:rStyle w:val="Hipervnculo"/>
          <w:color w:val="auto"/>
          <w:u w:val="none"/>
        </w:rPr>
        <w:t xml:space="preserve">, respectivamente </w:t>
      </w:r>
      <w:r>
        <w:rPr>
          <w:rStyle w:val="Hipervnculo"/>
          <w:color w:val="auto"/>
          <w:u w:val="none"/>
        </w:rPr>
        <w:t>en la figura 4</w:t>
      </w:r>
      <w:r w:rsidRPr="0049282C">
        <w:rPr>
          <w:rStyle w:val="Hipervnculo"/>
          <w:color w:val="auto"/>
          <w:u w:val="none"/>
        </w:rPr>
        <w:t>. Este efecto se mejoró aún más al 90% y al 95% con MPGΔNLS</w:t>
      </w:r>
      <w:r>
        <w:rPr>
          <w:rStyle w:val="Hipervnculo"/>
          <w:color w:val="auto"/>
          <w:u w:val="none"/>
        </w:rPr>
        <w:t>.</w:t>
      </w:r>
    </w:p>
    <w:p w14:paraId="4E6CDC1D" w14:textId="597A126C" w:rsidR="0049282C" w:rsidRDefault="0049282C" w:rsidP="0049282C">
      <w:pPr>
        <w:pStyle w:val="Prrafodelista"/>
        <w:rPr>
          <w:rStyle w:val="Hipervnculo"/>
          <w:color w:val="auto"/>
          <w:u w:val="none"/>
        </w:rPr>
      </w:pPr>
      <w:r w:rsidRPr="0049282C">
        <w:rPr>
          <w:rStyle w:val="Hipervnculo"/>
          <w:color w:val="auto"/>
          <w:u w:val="none"/>
        </w:rPr>
        <w:t xml:space="preserve">Experimentos similares realizados con un </w:t>
      </w:r>
      <w:proofErr w:type="spellStart"/>
      <w:r>
        <w:rPr>
          <w:rStyle w:val="Hipervnculo"/>
          <w:color w:val="auto"/>
          <w:u w:val="none"/>
        </w:rPr>
        <w:t>siRNA</w:t>
      </w:r>
      <w:proofErr w:type="spellEnd"/>
      <w:r>
        <w:rPr>
          <w:rStyle w:val="Hipervnculo"/>
          <w:color w:val="auto"/>
          <w:u w:val="none"/>
        </w:rPr>
        <w:t xml:space="preserve"> </w:t>
      </w:r>
      <w:r w:rsidRPr="0049282C">
        <w:rPr>
          <w:rStyle w:val="Hipervnculo"/>
          <w:color w:val="auto"/>
          <w:u w:val="none"/>
        </w:rPr>
        <w:t xml:space="preserve">no coincidente </w:t>
      </w:r>
      <w:proofErr w:type="spellStart"/>
      <w:r w:rsidRPr="0049282C">
        <w:rPr>
          <w:rStyle w:val="Hipervnculo"/>
          <w:color w:val="auto"/>
          <w:u w:val="none"/>
        </w:rPr>
        <w:t>complejado</w:t>
      </w:r>
      <w:proofErr w:type="spellEnd"/>
      <w:r w:rsidRPr="0049282C">
        <w:rPr>
          <w:rStyle w:val="Hipervnculo"/>
          <w:color w:val="auto"/>
          <w:u w:val="none"/>
        </w:rPr>
        <w:t xml:space="preserve"> con MPG o MPG ΔNLS no dieron como resultado ningún cambio en los niveles de actividad de </w:t>
      </w:r>
      <w:proofErr w:type="spellStart"/>
      <w:r w:rsidRPr="0049282C">
        <w:rPr>
          <w:rStyle w:val="Hipervnculo"/>
          <w:color w:val="auto"/>
          <w:u w:val="none"/>
        </w:rPr>
        <w:t>luciferasa</w:t>
      </w:r>
      <w:proofErr w:type="spellEnd"/>
      <w:r w:rsidRPr="0049282C">
        <w:rPr>
          <w:rStyle w:val="Hipervnculo"/>
          <w:color w:val="auto"/>
          <w:u w:val="none"/>
        </w:rPr>
        <w:t>, lo que sugiere que no hay efectos secundarios asociados con la presencia de MPG</w:t>
      </w:r>
    </w:p>
    <w:p w14:paraId="245E7F4B" w14:textId="77777777" w:rsidR="0049282C" w:rsidRDefault="0049282C" w:rsidP="0049282C">
      <w:pPr>
        <w:pStyle w:val="Prrafodelista"/>
        <w:rPr>
          <w:rStyle w:val="Hipervnculo"/>
          <w:color w:val="auto"/>
          <w:u w:val="none"/>
        </w:rPr>
      </w:pPr>
    </w:p>
    <w:p w14:paraId="1785C2CF" w14:textId="247FE4D2" w:rsidR="0049282C" w:rsidRDefault="0049282C" w:rsidP="0049282C">
      <w:pPr>
        <w:pStyle w:val="Prrafodelista"/>
        <w:rPr>
          <w:rStyle w:val="Hipervnculo"/>
          <w:color w:val="auto"/>
          <w:u w:val="none"/>
        </w:rPr>
      </w:pPr>
      <w:r w:rsidRPr="0049282C">
        <w:rPr>
          <w:rStyle w:val="Hipervnculo"/>
          <w:color w:val="auto"/>
          <w:u w:val="none"/>
        </w:rPr>
        <w:t xml:space="preserve">Estos experimentos revelaron que la eficiencia de los péptidos similares a MPG es similar a la de </w:t>
      </w:r>
      <w:proofErr w:type="spellStart"/>
      <w:r w:rsidRPr="0049282C">
        <w:rPr>
          <w:rStyle w:val="Hipervnculo"/>
          <w:color w:val="auto"/>
          <w:u w:val="none"/>
        </w:rPr>
        <w:t>Oligofectamine</w:t>
      </w:r>
      <w:proofErr w:type="spellEnd"/>
      <w:r w:rsidRPr="0049282C">
        <w:rPr>
          <w:rStyle w:val="Hipervnculo"/>
          <w:color w:val="auto"/>
          <w:u w:val="none"/>
        </w:rPr>
        <w:t xml:space="preserve">™, lo que sugiere que MPG es capaz de liberar el </w:t>
      </w:r>
      <w:proofErr w:type="spellStart"/>
      <w:r w:rsidRPr="0049282C">
        <w:rPr>
          <w:rStyle w:val="Hipervnculo"/>
          <w:color w:val="auto"/>
          <w:u w:val="none"/>
        </w:rPr>
        <w:t>ARNip</w:t>
      </w:r>
      <w:proofErr w:type="spellEnd"/>
      <w:r w:rsidRPr="0049282C">
        <w:rPr>
          <w:rStyle w:val="Hipervnculo"/>
          <w:color w:val="auto"/>
          <w:u w:val="none"/>
        </w:rPr>
        <w:t xml:space="preserve"> rápidamente y no afecta su efecto biológico tras la internalización celular.</w:t>
      </w:r>
    </w:p>
    <w:p w14:paraId="644376BD" w14:textId="77777777" w:rsidR="00630CFC" w:rsidRDefault="00630CFC" w:rsidP="0049282C">
      <w:pPr>
        <w:pStyle w:val="Prrafodelista"/>
        <w:rPr>
          <w:rStyle w:val="Hipervnculo"/>
          <w:color w:val="auto"/>
          <w:u w:val="none"/>
        </w:rPr>
      </w:pPr>
    </w:p>
    <w:p w14:paraId="281B7340" w14:textId="77777777" w:rsidR="000A6AE8" w:rsidRDefault="000A6AE8" w:rsidP="000A6AE8"/>
    <w:p w14:paraId="52008FE6" w14:textId="77777777" w:rsidR="000A6AE8" w:rsidRPr="000A6AE8" w:rsidRDefault="000A6AE8" w:rsidP="000A6AE8"/>
    <w:p w14:paraId="01B00F2D" w14:textId="77777777" w:rsidR="000A6AE8" w:rsidRPr="000A6AE8" w:rsidRDefault="000A6AE8" w:rsidP="000A6AE8"/>
    <w:sectPr w:rsidR="000A6AE8" w:rsidRPr="000A6AE8" w:rsidSect="009A42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73AA4"/>
    <w:multiLevelType w:val="hybridMultilevel"/>
    <w:tmpl w:val="F294AC2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27523171"/>
    <w:multiLevelType w:val="hybridMultilevel"/>
    <w:tmpl w:val="E772A4D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47596F2C"/>
    <w:multiLevelType w:val="hybridMultilevel"/>
    <w:tmpl w:val="64EE729A"/>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7D5739D"/>
    <w:multiLevelType w:val="hybridMultilevel"/>
    <w:tmpl w:val="529CB8E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49E34008"/>
    <w:multiLevelType w:val="hybridMultilevel"/>
    <w:tmpl w:val="36CC7ECC"/>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7F0A7C3B"/>
    <w:multiLevelType w:val="hybridMultilevel"/>
    <w:tmpl w:val="19D211F8"/>
    <w:lvl w:ilvl="0" w:tplc="EAF8F31C">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 w15:restartNumberingAfterBreak="0">
    <w:nsid w:val="7F221D3E"/>
    <w:multiLevelType w:val="hybridMultilevel"/>
    <w:tmpl w:val="6D9ED096"/>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483857516">
    <w:abstractNumId w:val="6"/>
  </w:num>
  <w:num w:numId="2" w16cid:durableId="1608465973">
    <w:abstractNumId w:val="1"/>
  </w:num>
  <w:num w:numId="3" w16cid:durableId="1273322468">
    <w:abstractNumId w:val="0"/>
  </w:num>
  <w:num w:numId="4" w16cid:durableId="1450705454">
    <w:abstractNumId w:val="2"/>
  </w:num>
  <w:num w:numId="5" w16cid:durableId="942304540">
    <w:abstractNumId w:val="4"/>
  </w:num>
  <w:num w:numId="6" w16cid:durableId="609747353">
    <w:abstractNumId w:val="5"/>
  </w:num>
  <w:num w:numId="7" w16cid:durableId="500389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E8"/>
    <w:rsid w:val="000271C8"/>
    <w:rsid w:val="00040696"/>
    <w:rsid w:val="0007585F"/>
    <w:rsid w:val="000A6AE8"/>
    <w:rsid w:val="00113B3E"/>
    <w:rsid w:val="001555B8"/>
    <w:rsid w:val="002C1D71"/>
    <w:rsid w:val="003020D5"/>
    <w:rsid w:val="003545D3"/>
    <w:rsid w:val="003C7D73"/>
    <w:rsid w:val="004817EF"/>
    <w:rsid w:val="0049282C"/>
    <w:rsid w:val="004C4EDB"/>
    <w:rsid w:val="004E70F6"/>
    <w:rsid w:val="00500A63"/>
    <w:rsid w:val="00510337"/>
    <w:rsid w:val="00630CFC"/>
    <w:rsid w:val="006402EE"/>
    <w:rsid w:val="006B7337"/>
    <w:rsid w:val="007F7BD1"/>
    <w:rsid w:val="00873244"/>
    <w:rsid w:val="00923236"/>
    <w:rsid w:val="00986528"/>
    <w:rsid w:val="009A425D"/>
    <w:rsid w:val="00A74D66"/>
    <w:rsid w:val="00B234FE"/>
    <w:rsid w:val="00B278C0"/>
    <w:rsid w:val="00D676E3"/>
    <w:rsid w:val="00D81F3F"/>
    <w:rsid w:val="00DA3521"/>
    <w:rsid w:val="00DD5BC1"/>
    <w:rsid w:val="00E0365C"/>
    <w:rsid w:val="00E04C6B"/>
    <w:rsid w:val="00E968EC"/>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E227"/>
  <w15:chartTrackingRefBased/>
  <w15:docId w15:val="{CC11D25A-B01B-4F46-A709-FABD03AC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6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6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6A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6A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6A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6A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6A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6A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6A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6AE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6AE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6AE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6A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6A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6A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6A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6A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6AE8"/>
    <w:rPr>
      <w:rFonts w:eastAsiaTheme="majorEastAsia" w:cstheme="majorBidi"/>
      <w:color w:val="272727" w:themeColor="text1" w:themeTint="D8"/>
    </w:rPr>
  </w:style>
  <w:style w:type="paragraph" w:styleId="Ttulo">
    <w:name w:val="Title"/>
    <w:basedOn w:val="Normal"/>
    <w:next w:val="Normal"/>
    <w:link w:val="TtuloCar"/>
    <w:uiPriority w:val="10"/>
    <w:qFormat/>
    <w:rsid w:val="000A6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6A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6A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6A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6AE8"/>
    <w:pPr>
      <w:spacing w:before="160"/>
      <w:jc w:val="center"/>
    </w:pPr>
    <w:rPr>
      <w:i/>
      <w:iCs/>
      <w:color w:val="404040" w:themeColor="text1" w:themeTint="BF"/>
    </w:rPr>
  </w:style>
  <w:style w:type="character" w:customStyle="1" w:styleId="CitaCar">
    <w:name w:val="Cita Car"/>
    <w:basedOn w:val="Fuentedeprrafopredeter"/>
    <w:link w:val="Cita"/>
    <w:uiPriority w:val="29"/>
    <w:rsid w:val="000A6AE8"/>
    <w:rPr>
      <w:i/>
      <w:iCs/>
      <w:color w:val="404040" w:themeColor="text1" w:themeTint="BF"/>
    </w:rPr>
  </w:style>
  <w:style w:type="paragraph" w:styleId="Prrafodelista">
    <w:name w:val="List Paragraph"/>
    <w:basedOn w:val="Normal"/>
    <w:uiPriority w:val="34"/>
    <w:qFormat/>
    <w:rsid w:val="000A6AE8"/>
    <w:pPr>
      <w:ind w:left="720"/>
      <w:contextualSpacing/>
    </w:pPr>
  </w:style>
  <w:style w:type="character" w:styleId="nfasisintenso">
    <w:name w:val="Intense Emphasis"/>
    <w:basedOn w:val="Fuentedeprrafopredeter"/>
    <w:uiPriority w:val="21"/>
    <w:qFormat/>
    <w:rsid w:val="000A6AE8"/>
    <w:rPr>
      <w:i/>
      <w:iCs/>
      <w:color w:val="0F4761" w:themeColor="accent1" w:themeShade="BF"/>
    </w:rPr>
  </w:style>
  <w:style w:type="paragraph" w:styleId="Citadestacada">
    <w:name w:val="Intense Quote"/>
    <w:basedOn w:val="Normal"/>
    <w:next w:val="Normal"/>
    <w:link w:val="CitadestacadaCar"/>
    <w:uiPriority w:val="30"/>
    <w:qFormat/>
    <w:rsid w:val="000A6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6AE8"/>
    <w:rPr>
      <w:i/>
      <w:iCs/>
      <w:color w:val="0F4761" w:themeColor="accent1" w:themeShade="BF"/>
    </w:rPr>
  </w:style>
  <w:style w:type="character" w:styleId="Referenciaintensa">
    <w:name w:val="Intense Reference"/>
    <w:basedOn w:val="Fuentedeprrafopredeter"/>
    <w:uiPriority w:val="32"/>
    <w:qFormat/>
    <w:rsid w:val="000A6AE8"/>
    <w:rPr>
      <w:b/>
      <w:bCs/>
      <w:smallCaps/>
      <w:color w:val="0F4761" w:themeColor="accent1" w:themeShade="BF"/>
      <w:spacing w:val="5"/>
    </w:rPr>
  </w:style>
  <w:style w:type="character" w:styleId="Hipervnculo">
    <w:name w:val="Hyperlink"/>
    <w:basedOn w:val="Fuentedeprrafopredeter"/>
    <w:uiPriority w:val="99"/>
    <w:unhideWhenUsed/>
    <w:rsid w:val="000A6AE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374963">
      <w:bodyDiv w:val="1"/>
      <w:marLeft w:val="0"/>
      <w:marRight w:val="0"/>
      <w:marTop w:val="0"/>
      <w:marBottom w:val="0"/>
      <w:divBdr>
        <w:top w:val="none" w:sz="0" w:space="0" w:color="auto"/>
        <w:left w:val="none" w:sz="0" w:space="0" w:color="auto"/>
        <w:bottom w:val="none" w:sz="0" w:space="0" w:color="auto"/>
        <w:right w:val="none" w:sz="0" w:space="0" w:color="auto"/>
      </w:divBdr>
    </w:div>
    <w:div w:id="2119251809">
      <w:bodyDiv w:val="1"/>
      <w:marLeft w:val="0"/>
      <w:marRight w:val="0"/>
      <w:marTop w:val="0"/>
      <w:marBottom w:val="0"/>
      <w:divBdr>
        <w:top w:val="none" w:sz="0" w:space="0" w:color="auto"/>
        <w:left w:val="none" w:sz="0" w:space="0" w:color="auto"/>
        <w:bottom w:val="none" w:sz="0" w:space="0" w:color="auto"/>
        <w:right w:val="none" w:sz="0" w:space="0" w:color="auto"/>
      </w:divBdr>
      <w:divsChild>
        <w:div w:id="193543178">
          <w:marLeft w:val="0"/>
          <w:marRight w:val="0"/>
          <w:marTop w:val="0"/>
          <w:marBottom w:val="0"/>
          <w:divBdr>
            <w:top w:val="none" w:sz="0" w:space="0" w:color="auto"/>
            <w:left w:val="none" w:sz="0" w:space="0" w:color="auto"/>
            <w:bottom w:val="none" w:sz="0" w:space="0" w:color="auto"/>
            <w:right w:val="none" w:sz="0" w:space="0" w:color="auto"/>
          </w:divBdr>
          <w:divsChild>
            <w:div w:id="1760174730">
              <w:marLeft w:val="0"/>
              <w:marRight w:val="0"/>
              <w:marTop w:val="0"/>
              <w:marBottom w:val="0"/>
              <w:divBdr>
                <w:top w:val="none" w:sz="0" w:space="0" w:color="auto"/>
                <w:left w:val="none" w:sz="0" w:space="0" w:color="auto"/>
                <w:bottom w:val="none" w:sz="0" w:space="0" w:color="auto"/>
                <w:right w:val="none" w:sz="0" w:space="0" w:color="auto"/>
              </w:divBdr>
              <w:divsChild>
                <w:div w:id="18860214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10C3D-E00F-475C-97C0-5A97A4DAD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2106</Words>
  <Characters>11588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RECALDE POSSO MARLON XAVIER</dc:creator>
  <cp:keywords/>
  <dc:description/>
  <cp:lastModifiedBy>RECALDE POSSO MARLON XAVIER</cp:lastModifiedBy>
  <cp:revision>2</cp:revision>
  <dcterms:created xsi:type="dcterms:W3CDTF">2024-03-28T00:18:00Z</dcterms:created>
  <dcterms:modified xsi:type="dcterms:W3CDTF">2024-03-28T00:18:00Z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