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1E59C289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</w:t>
            </w:r>
            <w:r w:rsidR="00B765EC">
              <w:rPr>
                <w:b/>
                <w:sz w:val="28"/>
                <w:szCs w:val="28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B765EC">
              <w:rPr>
                <w:b/>
                <w:sz w:val="28"/>
                <w:szCs w:val="28"/>
              </w:rPr>
              <w:t xml:space="preserve"> Aseguramiento 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653146D6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B765EC">
              <w:rPr>
                <w:b/>
              </w:rPr>
              <w:t xml:space="preserve"> </w:t>
            </w:r>
            <w:r w:rsidR="003A7CFF">
              <w:rPr>
                <w:b/>
              </w:rPr>
              <w:t>Gestión de pedidos de restaurante kandela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485D6BB2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B765EC">
              <w:rPr>
                <w:b/>
                <w:color w:val="000000"/>
              </w:rPr>
              <w:t xml:space="preserve"> 7 Semestre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591488F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B765EC">
              <w:rPr>
                <w:b/>
                <w:color w:val="000000"/>
              </w:rPr>
              <w:t>2567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B1694DF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B765EC">
              <w:rPr>
                <w:b/>
                <w:color w:val="000000"/>
              </w:rPr>
              <w:t>19/02/2025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00A0039A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0301E6">
              <w:rPr>
                <w:b/>
                <w:color w:val="000000"/>
              </w:rPr>
              <w:t>6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26A9A4C3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Barriga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5C77ADCA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Mateo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4F2C4A70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Bazurto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0E54C119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Christopher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3532B671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Macas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75EBD752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Karol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46D0566D" w:rsidR="00A85217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Otuna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37B0F7BC" w:rsidR="00A85217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Shirley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2E777216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37607083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09C9261D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04C7D5D2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01627E02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3A88C65A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2C2E4A4E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2ADE273C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06E56EF3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44A17FB" w:rsidR="00775C7E" w:rsidRDefault="003A7CFF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37</w:t>
            </w: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6BABFB3E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E30F300" w14:textId="197FEE5C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3FD26C3D" w:rsidR="00775C7E" w:rsidRDefault="003A7CF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ABBF019" w14:textId="5BE7EE40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068F3D99" w:rsidR="00775C7E" w:rsidRDefault="003A7CFF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8BB3D" w14:textId="77777777" w:rsidR="00E171F2" w:rsidRDefault="00E171F2">
      <w:pPr>
        <w:spacing w:after="0" w:line="240" w:lineRule="auto"/>
      </w:pPr>
      <w:r>
        <w:separator/>
      </w:r>
    </w:p>
  </w:endnote>
  <w:endnote w:type="continuationSeparator" w:id="0">
    <w:p w14:paraId="4115D3CC" w14:textId="77777777" w:rsidR="00E171F2" w:rsidRDefault="00E1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B13D3" w14:textId="77777777" w:rsidR="00E171F2" w:rsidRDefault="00E171F2">
      <w:pPr>
        <w:spacing w:after="0" w:line="240" w:lineRule="auto"/>
      </w:pPr>
      <w:r>
        <w:separator/>
      </w:r>
    </w:p>
  </w:footnote>
  <w:footnote w:type="continuationSeparator" w:id="0">
    <w:p w14:paraId="477693AC" w14:textId="77777777" w:rsidR="00E171F2" w:rsidRDefault="00E17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52003714">
    <w:abstractNumId w:val="2"/>
  </w:num>
  <w:num w:numId="2" w16cid:durableId="1647130294">
    <w:abstractNumId w:val="0"/>
  </w:num>
  <w:num w:numId="3" w16cid:durableId="1213418787">
    <w:abstractNumId w:val="1"/>
  </w:num>
  <w:num w:numId="4" w16cid:durableId="504705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301E6"/>
    <w:rsid w:val="001D37FC"/>
    <w:rsid w:val="002311BB"/>
    <w:rsid w:val="003A7CFF"/>
    <w:rsid w:val="004156BB"/>
    <w:rsid w:val="00542F94"/>
    <w:rsid w:val="005543C4"/>
    <w:rsid w:val="00614350"/>
    <w:rsid w:val="006B7A1E"/>
    <w:rsid w:val="00775C7E"/>
    <w:rsid w:val="00863A8E"/>
    <w:rsid w:val="009163D1"/>
    <w:rsid w:val="009C2533"/>
    <w:rsid w:val="009F616F"/>
    <w:rsid w:val="00A85217"/>
    <w:rsid w:val="00B11770"/>
    <w:rsid w:val="00B765EC"/>
    <w:rsid w:val="00B77333"/>
    <w:rsid w:val="00BB3E08"/>
    <w:rsid w:val="00BF35B3"/>
    <w:rsid w:val="00C72434"/>
    <w:rsid w:val="00C8503D"/>
    <w:rsid w:val="00E1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Mateo Barriga</cp:lastModifiedBy>
  <cp:revision>3</cp:revision>
  <cp:lastPrinted>2024-02-29T12:53:00Z</cp:lastPrinted>
  <dcterms:created xsi:type="dcterms:W3CDTF">2025-02-19T07:23:00Z</dcterms:created>
  <dcterms:modified xsi:type="dcterms:W3CDTF">2025-02-19T18:56:00Z</dcterms:modified>
</cp:coreProperties>
</file>