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360" w:lineRule="auto"/>
        <w:jc w:val="center"/>
        <w:rPr>
          <w:b w:val="1"/>
          <w:bCs w:val="1"/>
          <w:sz w:val="36"/>
          <w:szCs w:val="36"/>
        </w:rPr>
      </w:pPr>
      <w:r w:rsidDel="00000000" w:rsidR="00000000" w:rsidRPr="00000000">
        <w:rPr>
          <w:b w:val="1"/>
          <w:bCs w:val="1"/>
          <w:sz w:val="36"/>
          <w:szCs w:val="36"/>
          <w:rtl w:val="0"/>
        </w:rPr>
        <w:t xml:space="preserve">UNIVERSIDAD MAYOR REAL Y PONTIFICA DE SAN FRANCISCO DE CHUQUISACA</w:t>
      </w:r>
    </w:p>
    <w:p w:rsidR="00000000" w:rsidDel="00000000" w:rsidP="00000000" w:rsidRDefault="00000000" w:rsidRPr="00000000" w14:paraId="00000002">
      <w:pPr>
        <w:widowControl w:val="1"/>
        <w:spacing w:line="360" w:lineRule="auto"/>
        <w:jc w:val="center"/>
        <w:rPr>
          <w:b w:val="1"/>
          <w:bCs w:val="1"/>
          <w:sz w:val="24"/>
          <w:szCs w:val="24"/>
        </w:rPr>
      </w:pPr>
      <w:r w:rsidDel="00000000" w:rsidR="00000000" w:rsidRPr="00000000">
        <w:rPr>
          <w:b w:val="1"/>
          <w:bCs w:val="1"/>
          <w:sz w:val="24"/>
          <w:szCs w:val="24"/>
          <w:rtl w:val="0"/>
        </w:rPr>
        <w:t xml:space="preserve">FACULTAD DE TECNOLOGÍA</w:t>
      </w:r>
    </w:p>
    <w:p w:rsidR="00000000" w:rsidDel="00000000" w:rsidP="00000000" w:rsidRDefault="00000000" w:rsidRPr="00000000" w14:paraId="00000003">
      <w:pPr>
        <w:widowControl w:val="1"/>
        <w:spacing w:line="360" w:lineRule="auto"/>
        <w:jc w:val="center"/>
        <w:rPr>
          <w:sz w:val="24"/>
          <w:szCs w:val="24"/>
        </w:rPr>
      </w:pPr>
      <w:r w:rsidDel="00000000" w:rsidR="00000000" w:rsidRPr="00000000">
        <w:rPr>
          <w:sz w:val="24"/>
          <w:szCs w:val="24"/>
        </w:rPr>
        <w:drawing>
          <wp:inline distB="114300" distT="114300" distL="114300" distR="114300">
            <wp:extent cx="2247900" cy="302895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247900" cy="302895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widowControl w:val="1"/>
        <w:spacing w:line="360" w:lineRule="auto"/>
        <w:jc w:val="center"/>
        <w:rPr>
          <w:b w:val="1"/>
          <w:bCs w:val="1"/>
          <w:sz w:val="24"/>
          <w:szCs w:val="24"/>
        </w:rPr>
      </w:pPr>
      <w:r w:rsidDel="00000000" w:rsidR="00000000" w:rsidRPr="00000000">
        <w:rPr>
          <w:rtl w:val="0"/>
          <w:b w:val="1"/>
          <w:bCs w:val="1"/>
          <w:sz w:val="24"/>
          <w:szCs w:val="24"/>
        </w:rPr>
        <w:t xml:space="preserve">ANEXO C</w:t>
      </w:r>
    </w:p>
    <w:p w:rsidR="00000000" w:rsidDel="00000000" w:rsidP="00000000" w:rsidRDefault="00000000" w:rsidRPr="00000000" w14:paraId="00000005">
      <w:pPr>
        <w:widowControl w:val="1"/>
        <w:spacing w:line="360" w:lineRule="auto"/>
        <w:jc w:val="center"/>
        <w:rPr>
          <w:b w:val="1"/>
          <w:bCs w:val="1"/>
          <w:sz w:val="24"/>
          <w:szCs w:val="24"/>
        </w:rPr>
      </w:pPr>
      <w:r w:rsidDel="00000000" w:rsidR="00000000" w:rsidRPr="00000000">
        <w:rPr>
          <w:b w:val="1"/>
          <w:bCs w:val="1"/>
          <w:sz w:val="24"/>
          <w:szCs w:val="24"/>
          <w:rtl w:val="0"/>
        </w:rPr>
        <w:t xml:space="preserve">MANUAL DE USUARIO</w:t>
      </w:r>
    </w:p>
    <w:p w:rsidR="00000000" w:rsidDel="00000000" w:rsidP="00000000" w:rsidRDefault="00000000" w:rsidRPr="00000000" w14:paraId="00000006">
      <w:pPr>
        <w:widowControl w:val="1"/>
        <w:spacing w:line="360" w:lineRule="auto"/>
        <w:jc w:val="center"/>
        <w:rPr>
          <w:b w:val="1"/>
          <w:bCs w:val="1"/>
          <w:sz w:val="24"/>
          <w:szCs w:val="24"/>
        </w:rPr>
      </w:pPr>
      <w:r w:rsidDel="00000000" w:rsidR="00000000" w:rsidRPr="00000000">
        <w:rPr>
          <w:b w:val="1"/>
          <w:bCs w:val="1"/>
          <w:sz w:val="24"/>
          <w:szCs w:val="24"/>
          <w:rtl w:val="0"/>
        </w:rPr>
        <w:t xml:space="preserve">Exploración Autónoma de Minas Subterráneas mediante 3D-CNN y Teoría de la Información</w:t>
      </w:r>
    </w:p>
    <w:p w:rsidR="00000000" w:rsidDel="00000000" w:rsidP="00000000" w:rsidRDefault="00000000" w:rsidRPr="00000000" w14:paraId="00000007">
      <w:pPr>
        <w:widowControl w:val="1"/>
        <w:spacing w:line="360" w:lineRule="auto"/>
        <w:jc w:val="center"/>
        <w:rPr>
          <w:b w:val="1"/>
          <w:bCs w:val="1"/>
          <w:sz w:val="24"/>
          <w:szCs w:val="24"/>
        </w:rPr>
      </w:pPr>
      <w:r w:rsidDel="00000000" w:rsidR="00000000" w:rsidRPr="00000000">
        <w:rPr>
          <w:rtl w:val="0"/>
          <w:b w:val="0"/>
          <w:bCs w:val="0"/>
          <w:sz w:val="22"/>
          <w:szCs w:val="22"/>
        </w:rPr>
        <w:t xml:space="preserve">Sistema Mine Explorer 3D — Exploración autónoma de galerías subterráneas</w:t>
      </w:r>
    </w:p>
    <w:p w:rsidR="00000000" w:rsidDel="00000000" w:rsidP="00000000" w:rsidRDefault="00000000" w:rsidRPr="00000000" w14:paraId="00000008">
      <w:pPr>
        <w:widowControl w:val="1"/>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9">
      <w:pPr>
        <w:widowControl w:val="1"/>
        <w:spacing w:line="360" w:lineRule="auto"/>
        <w:rPr>
          <w:sz w:val="24"/>
          <w:szCs w:val="24"/>
        </w:rPr>
      </w:pPr>
      <w:r w:rsidDel="00000000" w:rsidR="00000000" w:rsidRPr="00000000">
        <w:rPr>
          <w:b w:val="1"/>
          <w:bCs w:val="1"/>
          <w:sz w:val="24"/>
          <w:szCs w:val="24"/>
          <w:rtl w:val="0"/>
        </w:rPr>
        <w:t xml:space="preserve">APELLIDOS Y NOMBRES: </w:t>
        <w:tab/>
      </w:r>
      <w:r w:rsidDel="00000000" w:rsidR="00000000" w:rsidRPr="00000000">
        <w:rPr>
          <w:sz w:val="24"/>
          <w:szCs w:val="24"/>
          <w:rtl w:val="0"/>
        </w:rPr>
        <w:t xml:space="preserve">Rodas Palacios Max Jherzon</w:t>
      </w:r>
      <w:r w:rsidDel="00000000" w:rsidR="00000000" w:rsidRPr="00000000">
        <w:rPr>
          <w:rtl w:val="0"/>
        </w:rPr>
      </w:r>
    </w:p>
    <w:p w:rsidR="00000000" w:rsidDel="00000000" w:rsidP="00000000" w:rsidRDefault="00000000" w:rsidRPr="00000000" w14:paraId="0000000A">
      <w:pPr>
        <w:widowControl w:val="1"/>
        <w:spacing w:line="360" w:lineRule="auto"/>
        <w:rPr>
          <w:sz w:val="24"/>
          <w:szCs w:val="24"/>
        </w:rPr>
      </w:pPr>
      <w:r w:rsidDel="00000000" w:rsidR="00000000" w:rsidRPr="00000000">
        <w:rPr>
          <w:b w:val="1"/>
          <w:bCs w:val="1"/>
          <w:sz w:val="24"/>
          <w:szCs w:val="24"/>
          <w:rtl w:val="0"/>
        </w:rPr>
        <w:t xml:space="preserve">CARRERA:</w:t>
      </w:r>
      <w:r w:rsidDel="00000000" w:rsidR="00000000" w:rsidRPr="00000000">
        <w:rPr>
          <w:sz w:val="24"/>
          <w:szCs w:val="24"/>
          <w:rtl w:val="0"/>
        </w:rPr>
        <w:t xml:space="preserve"> </w:t>
        <w:tab/>
        <w:tab/>
        <w:tab/>
        <w:tab/>
        <w:t xml:space="preserve">Ing. En ciencias de la computación</w:t>
      </w:r>
    </w:p>
    <w:p w:rsidR="00000000" w:rsidDel="00000000" w:rsidP="00000000" w:rsidRDefault="00000000" w:rsidRPr="00000000" w14:paraId="0000000B">
      <w:pPr>
        <w:widowControl w:val="1"/>
        <w:spacing w:line="360" w:lineRule="auto"/>
        <w:rPr>
          <w:sz w:val="24"/>
          <w:szCs w:val="24"/>
        </w:rPr>
      </w:pPr>
      <w:r w:rsidDel="00000000" w:rsidR="00000000" w:rsidRPr="00000000">
        <w:rPr>
          <w:b w:val="1"/>
          <w:bCs w:val="1"/>
          <w:sz w:val="24"/>
          <w:szCs w:val="24"/>
          <w:rtl w:val="0"/>
        </w:rPr>
        <w:t xml:space="preserve">MATERIA: </w:t>
        <w:tab/>
        <w:tab/>
        <w:tab/>
        <w:tab/>
      </w:r>
      <w:r w:rsidDel="00000000" w:rsidR="00000000" w:rsidRPr="00000000">
        <w:rPr>
          <w:sz w:val="24"/>
          <w:szCs w:val="24"/>
          <w:rtl w:val="0"/>
        </w:rPr>
        <w:t xml:space="preserve">Taller de Especialidad</w:t>
      </w:r>
      <w:r w:rsidDel="00000000" w:rsidR="00000000" w:rsidRPr="00000000">
        <w:rPr>
          <w:rtl w:val="0"/>
        </w:rPr>
      </w:r>
    </w:p>
    <w:p w:rsidR="00000000" w:rsidDel="00000000" w:rsidP="00000000" w:rsidRDefault="00000000" w:rsidRPr="00000000" w14:paraId="0000000C">
      <w:pPr>
        <w:widowControl w:val="1"/>
        <w:spacing w:line="360" w:lineRule="auto"/>
        <w:rPr>
          <w:sz w:val="24"/>
          <w:szCs w:val="24"/>
        </w:rPr>
      </w:pPr>
      <w:r w:rsidDel="00000000" w:rsidR="00000000" w:rsidRPr="00000000">
        <w:rPr>
          <w:b w:val="1"/>
          <w:bCs w:val="1"/>
          <w:sz w:val="24"/>
          <w:szCs w:val="24"/>
          <w:rtl w:val="0"/>
        </w:rPr>
        <w:t xml:space="preserve">DOCENTE: </w:t>
        <w:tab/>
        <w:tab/>
        <w:tab/>
        <w:tab/>
      </w:r>
      <w:r w:rsidDel="00000000" w:rsidR="00000000" w:rsidRPr="00000000">
        <w:rPr>
          <w:sz w:val="24"/>
          <w:szCs w:val="24"/>
          <w:rtl w:val="0"/>
        </w:rPr>
        <w:t xml:space="preserve">Ing. Velasquez Aroni Oswaldo Gerardo</w:t>
      </w:r>
      <w:r w:rsidDel="00000000" w:rsidR="00000000" w:rsidRPr="00000000">
        <w:rPr>
          <w:rtl w:val="0"/>
        </w:rPr>
      </w:r>
    </w:p>
    <w:p w:rsidR="00000000" w:rsidDel="00000000" w:rsidP="00000000" w:rsidRDefault="00000000" w:rsidRPr="00000000" w14:paraId="0000000D">
      <w:pPr>
        <w:widowControl w:val="1"/>
        <w:spacing w:line="360" w:lineRule="auto"/>
        <w:rPr>
          <w:sz w:val="24"/>
          <w:szCs w:val="24"/>
        </w:rPr>
      </w:pPr>
      <w:r w:rsidDel="00000000" w:rsidR="00000000" w:rsidRPr="00000000">
        <w:rPr>
          <w:rtl w:val="0"/>
        </w:rPr>
      </w:r>
    </w:p>
    <w:p w:rsidR="00000000" w:rsidDel="00000000" w:rsidP="00000000" w:rsidRDefault="00000000" w:rsidRPr="00000000" w14:paraId="0000000E">
      <w:pPr>
        <w:widowControl w:val="1"/>
        <w:spacing w:line="360" w:lineRule="auto"/>
        <w:rPr>
          <w:sz w:val="24"/>
          <w:szCs w:val="24"/>
        </w:rPr>
      </w:pPr>
      <w:r w:rsidDel="00000000" w:rsidR="00000000" w:rsidRPr="00000000">
        <w:rPr>
          <w:rtl w:val="0"/>
        </w:rPr>
      </w:r>
    </w:p>
    <w:p w:rsidR="00000000" w:rsidDel="00000000" w:rsidP="00000000" w:rsidRDefault="00000000" w:rsidRPr="00000000" w14:paraId="0000000F">
      <w:pPr>
        <w:widowControl w:val="1"/>
        <w:spacing w:line="360" w:lineRule="auto"/>
        <w:rPr>
          <w:sz w:val="24"/>
          <w:szCs w:val="24"/>
        </w:rPr>
      </w:pPr>
      <w:r w:rsidDel="00000000" w:rsidR="00000000" w:rsidRPr="00000000">
        <w:rPr>
          <w:rtl w:val="0"/>
        </w:rPr>
      </w:r>
    </w:p>
    <w:p w:rsidR="00000000" w:rsidDel="00000000" w:rsidP="00000000" w:rsidRDefault="00000000" w:rsidRPr="00000000" w14:paraId="00000010">
      <w:pPr>
        <w:widowControl w:val="1"/>
        <w:spacing w:line="360" w:lineRule="auto"/>
        <w:jc w:val="center"/>
        <w:rPr>
          <w:b w:val="1"/>
          <w:bCs w:val="1"/>
          <w:sz w:val="24"/>
          <w:szCs w:val="24"/>
        </w:rPr>
        <w:sectPr>
          <w:footerReference r:id="rId7" w:type="default"/>
          <w:pgSz w:h="15840" w:w="12240" w:orient="portrait"/>
          <w:pgMar w:bottom="1440" w:top="1440" w:left="1440" w:right="1440" w:header="0" w:footer="720"/>
          <w:pgNumType w:start="1"/>
        </w:sectPr>
      </w:pPr>
      <w:r w:rsidDel="00000000" w:rsidR="00000000" w:rsidRPr="00000000">
        <w:rPr>
          <w:b w:val="1"/>
          <w:bCs w:val="1"/>
          <w:sz w:val="24"/>
          <w:szCs w:val="24"/>
          <w:rtl w:val="0"/>
        </w:rPr>
        <w:t xml:space="preserve">Sucre, 21 de octubre de 2026</w:t>
      </w:r>
    </w:p>
    <w:p w:rsidR="00000000" w:rsidDel="00000000" w:rsidP="00000000" w:rsidRDefault="00000000" w:rsidRPr="00000000" w14:paraId="00000011">
      <w:pPr>
        <w:widowControl w:val="1"/>
        <w:spacing w:line="360" w:lineRule="auto"/>
        <w:jc w:val="left"/>
        <w:rPr>
          <w:b w:val="1"/>
          <w:bCs w:val="1"/>
          <w:sz w:val="24"/>
          <w:szCs w:val="24"/>
        </w:rPr>
      </w:pPr>
      <w:r w:rsidDel="00000000" w:rsidR="00000000" w:rsidRPr="00000000">
        <w:rPr>
          <w:rtl w:val="0"/>
        </w:rPr>
      </w:r>
    </w:p>
    <w:p>
      <w:pPr>
        <w:widowControl w:val="1"/>
        <w:spacing w:before="0" w:after="240" w:line="360" w:lineRule="auto"/>
        <w:jc w:val="center"/>
        <w:rPr>
          <w:rFonts w:ascii="Arial" w:cs="Arial" w:eastAsia="Arial" w:hAnsi="Arial"/>
          <w:b w:val="1"/>
          <w:bCs w:val="1"/>
          <w:i w:val="0"/>
          <w:iCs w:val="0"/>
          <w:u w:val="none"/>
          <w:sz w:val="28"/>
          <w:szCs w:val="28"/>
        </w:rPr>
      </w:pPr>
      <w:r>
        <w:rPr>
          <w:rFonts w:ascii="Arial" w:cs="Arial" w:eastAsia="Arial" w:hAnsi="Arial"/>
          <w:b w:val="1"/>
          <w:bCs w:val="1"/>
          <w:i w:val="0"/>
          <w:iCs w:val="0"/>
          <w:u w:val="none"/>
          <w:sz w:val="28"/>
          <w:szCs w:val="28"/>
        </w:rPr>
        <w:t xml:space="preserve">ÍNDICE</w:t>
      </w:r>
    </w:p>
    <w:sdt>
      <w:sdtPr>
        <w:id w:val="444210532"/>
        <w:docPartObj>
          <w:docPartGallery w:val="Table of Contents"/>
          <w:docPartUnique w:val="1"/>
        </w:docPartObj>
      </w:sdtPr>
      <w:sdtContent>
        <w:p w:rsidR="00000000" w:rsidDel="00000000" w:rsidP="00000000" w:rsidRDefault="00000000" w:rsidRPr="00000000" w14:paraId="00000012">
          <w:pPr>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i w:val="0"/>
                <w:iCs w:val="0"/>
                <w:smallCaps w:val="0"/>
                <w:strike w:val="0"/>
                <w:color w:val="000000"/>
                <w:sz w:val="24"/>
                <w:szCs w:val="24"/>
                <w:u w:val="none"/>
                <w:shd w:fill="auto" w:val="clear"/>
                <w:vertAlign w:val="baseline"/>
                <w:rtl w:val="0"/>
              </w:rPr>
              <w:t xml:space="preserve">Manual de Usuario</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Introducción</w:t>
              <w:tab/>
              <w:t xml:space="preserve">9</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Propósito y alcance</w:t>
              <w:tab/>
              <w:t xml:space="preserve">10</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Público objetivo</w:t>
              <w:tab/>
              <w:t xml:space="preserve">12</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 Convenciones del manual</w:t>
              <w:tab/>
              <w:t xml:space="preserve">13</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 Requisitos previos para operar el sistema</w:t>
              <w:tab/>
              <w:t xml:space="preserve">13</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Conocimiento del sistema</w:t>
              <w:tab/>
              <w:t xml:space="preserve">14</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Descripción general</w:t>
              <w:tab/>
              <w:t xml:space="preserve">15</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Arquitectura funcional</w:t>
              <w:tab/>
              <w:t xml:space="preserve">17</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 Terminología</w:t>
              <w:tab/>
              <w:t xml:space="preserve">18</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Puesta en marcha</w:t>
              <w:tab/>
              <w:t xml:space="preserve">19</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 Encendido del simulador y del backend</w:t>
              <w:tab/>
              <w:t xml:space="preserve">20</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 Apertura de la aplicación de escritorio</w:t>
              <w:tab/>
              <w:t xml:space="preserve">24</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 Verificación del estado de la conexión</w:t>
              <w:tab/>
              <w:t xml:space="preserve">27</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Interfaz de la aplicación</w:t>
              <w:tab/>
              <w:t xml:space="preserve">29</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 Barra superior</w:t>
              <w:tab/>
              <w:t xml:space="preserve">30</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 Menú de cuenta</w:t>
              <w:tab/>
              <w:t xml:space="preserve">32</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4.3 Panel lateral izquierdo</w:t>
              <w:tab/>
              <w:t xml:space="preserve">32</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4.4 Panel central «Mapas / Misiones»</w:t>
              <w:tab/>
              <w:t xml:space="preserve">33</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4.5 Etiquetas de estado</w:t>
              <w:tab/>
              <w:t xml:space="preserve">35</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Procedimientos de operación</w:t>
              <w:tab/>
              <w:t xml:space="preserve">37</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 Registro de una cuenta</w:t>
              <w:tab/>
              <w:t xml:space="preserve">38</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 Inicio de sesión</w:t>
              <w:tab/>
              <w:t xml:space="preserve">40</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5.3 Creación de una mina</w:t>
              <w:tab/>
              <w:t xml:space="preserve">41</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5.4 Creación de una misión e inicio de la exploración</w:t>
              <w:tab/>
              <w:t xml:space="preserve">43</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5.5 Pausa, reanudación y finalización</w:t>
              <w:tab/>
              <w:t xml:space="preserve">47</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5.6 Carga del mapa en el simulador</w:t>
              <w:tab/>
              <w:t xml:space="preserve">48</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5.7 Visualización del mapa en tres dimensiones</w:t>
              <w:tab/>
              <w:t xml:space="preserve">49</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5.8 Importación de un modelo tridimensional externo</w:t>
              <w:tab/>
              <w:t xml:space="preserve">52</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5.9 Exportación de los resultados</w:t>
              <w:tab/>
              <w:t xml:space="preserve">53</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Interpretación de métricas y resultados</w:t>
              <w:tab/>
              <w:t xml:space="preserve">58</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6.1 Clases de riesgo y colores</w:t>
              <w:tab/>
              <w:t xml:space="preserve">59</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Operación avanzada</w:t>
              <w:tab/>
              <w:t xml:space="preserve">60</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7.1 Consola de la API</w:t>
              <w:tab/>
              <w:t xml:space="preserve">61</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7.2 Control directo del simulador</w:t>
              <w:tab/>
              <w:t xml:space="preserve">62</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7.3 Comando de administración del plugin</w:t>
              <w:tab/>
              <w:t xml:space="preserve">64</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Solución de problemas</w:t>
              <w:tab/>
              <w:t xml:space="preserve">67</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 Anexo: puertos, rutas y direcciones del sistema</w:t>
              <w:tab/>
              <w:t xml:space="preserve">68</w:t>
            </w:r>
          </w:hyperlink>
          <w:r w:rsidDel="00000000" w:rsidR="00000000" w:rsidRPr="00000000">
            <w:rPr>
              <w:rtl w:val="0"/>
            </w:rPr>
          </w:r>
        </w:p>
      </w:sdtContent>
    </w:sdt>
    <w:p>
      <w:pPr>
        <w:pStyle w:val="Heading1"/>
        <w:pageBreakBefore/>
        <w:widowControl w:val="1"/>
        <w:spacing w:before="0" w:after="240" w:line="360" w:lineRule="auto"/>
        <w:rPr>
          <w:rFonts w:ascii="Arial" w:cs="Arial" w:eastAsia="Arial" w:hAnsi="Arial"/>
          <w:b w:val="1"/>
          <w:bCs w:val="1"/>
          <w:i w:val="0"/>
          <w:iCs w:val="0"/>
          <w:u w:val="none"/>
          <w:sz w:val="48"/>
          <w:szCs w:val="48"/>
        </w:rPr>
      </w:pPr>
      <w:r>
        <w:rPr>
          <w:rFonts w:ascii="Arial" w:cs="Arial" w:eastAsia="Arial" w:hAnsi="Arial"/>
          <w:b w:val="1"/>
          <w:bCs w:val="1"/>
          <w:i w:val="0"/>
          <w:iCs w:val="0"/>
          <w:u w:val="none"/>
          <w:sz w:val="48"/>
          <w:szCs w:val="48"/>
        </w:rPr>
        <w:t xml:space="preserve">Manual de Usuario</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El presente Manual de Usuario documenta el funcionamiento operativo del sistema «Mine Explorer 3D», la aplicación de escritorio developed durante el proyecto de investigación «Exploración Autónoma de Minas Subterráneas mediante 3D-CNN y Teoría de la Información». El sistema es un prototipo funcional que explora de manera autónoma una mina simulada, construye un mapa volumétrico del terreno, identifica riesgos estructurales mediante una red neuronal convolucional tridimensional (3D-CNN) y ofrece los resultados al operador en formato tabulado, tridimensional e imprimible.</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La documentación se organiza siguiendo el flujo real de trabajo del operador: acceso al sistema, registro de minas y misiones, control de la exploración en caliente, visualización del mapa volumétrico en tres dimensiones, importación de modelos externos y exportación de los resultados. Cada procedimiento se documenta con el detalle de la interfaz, la acción exacta que debe ejecutar el usuario y el resultado esperado.</w:t>
      </w:r>
    </w:p>
    <w:p>
      <w:pPr>
        <w:pStyle w:val="Heading2"/>
        <w:pageBreakBefore/>
        <w:widowControl w:val="1"/>
        <w:spacing w:before="0" w:after="225" w:line="360" w:lineRule="auto"/>
        <w:rPr>
          <w:rFonts w:ascii="Arial" w:cs="Arial" w:eastAsia="Arial" w:hAnsi="Arial"/>
          <w:b w:val="1"/>
          <w:bCs w:val="1"/>
          <w:i w:val="0"/>
          <w:iCs w:val="0"/>
          <w:u w:val="none"/>
          <w:sz w:val="28"/>
          <w:szCs w:val="28"/>
        </w:rPr>
      </w:pPr>
      <w:r>
        <w:rPr>
          <w:rFonts w:ascii="Arial" w:cs="Arial" w:eastAsia="Arial" w:hAnsi="Arial"/>
          <w:b w:val="1"/>
          <w:bCs w:val="1"/>
          <w:i w:val="0"/>
          <w:iCs w:val="0"/>
          <w:u w:val="none"/>
          <w:sz w:val="28"/>
          <w:szCs w:val="28"/>
        </w:rPr>
        <w:t xml:space="preserve">1. Introducción</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1.1 Propósito y alcance</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Este manual tiene por propósito proporcionar el conocimiento operativo completo del sistema, de modo que cualquier usuario pueda instalar los componentes necesarios, operar la exploración autónoma e interpretar correctamente los resultados sin necesidad de conocimientos previos de programación. El alcance comprende los siguientes procedimientos:</w:t>
      </w:r>
    </w:p>
    <w:p>
      <w:pPr>
        <w:widowControl w:val="1"/>
        <w:numPr>
          <w:ilvl w:val="0"/>
          <w:numId w:val="1"/>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Acceso al sistema: registro de cuenta, inicio de sesión y cierre de sesión.</w:t>
      </w:r>
    </w:p>
    <w:p>
      <w:pPr>
        <w:widowControl w:val="1"/>
        <w:numPr>
          <w:ilvl w:val="0"/>
          <w:numId w:val="1"/>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Gestión de minas: creación, consulta y asociación de minas con las misiones.</w:t>
      </w:r>
    </w:p>
    <w:p>
      <w:pPr>
        <w:widowControl w:val="1"/>
        <w:numPr>
          <w:ilvl w:val="0"/>
          <w:numId w:val="1"/>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Gestión de misiones: creación, control y supervisión de las exploraciones.</w:t>
      </w:r>
    </w:p>
    <w:p>
      <w:pPr>
        <w:widowControl w:val="1"/>
        <w:numPr>
          <w:ilvl w:val="0"/>
          <w:numId w:val="1"/>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Control en caliente: inicio, pausa, reanudación, carga en el simulador y finalización.</w:t>
      </w:r>
    </w:p>
    <w:p>
      <w:pPr>
        <w:widowControl w:val="1"/>
        <w:numPr>
          <w:ilvl w:val="0"/>
          <w:numId w:val="1"/>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Visualización: navegación del mapa volumétrico en el visor 3D y lectura de sus controles.</w:t>
      </w:r>
    </w:p>
    <w:p>
      <w:pPr>
        <w:widowControl w:val="1"/>
        <w:numPr>
          <w:ilvl w:val="0"/>
          <w:numId w:val="1"/>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Importación: carga de modelos tridimensionales externos en formato PLY u OBJ.</w:t>
      </w:r>
    </w:p>
    <w:p>
      <w:pPr>
        <w:widowControl w:val="1"/>
        <w:numPr>
          <w:ilvl w:val="0"/>
          <w:numId w:val="1"/>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Exportación: obtención de los resultados en CSV, PLY, OBJ, PNG y PDF.</w:t>
      </w:r>
    </w:p>
    <w:p>
      <w:pPr>
        <w:widowControl w:val="1"/>
        <w:numPr>
          <w:ilvl w:val="0"/>
          <w:numId w:val="1"/>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Interpretación: lectura de las métricas de cobertura, entropía y detecciones de riesgo.</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1.2 Público objetivo</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El manual está dirigido a los siguientes perfiles de usuario, cada uno con necesidades diferentes dentro del flujo de operación:</w:t>
      </w:r>
    </w:p>
    <w:p>
      <w:pPr>
        <w:widowControl w:val="1"/>
        <w:numPr>
          <w:ilvl w:val="0"/>
          <w:numId w:val="1"/>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Técnicos de exploración minera: necesitan consultar la cobertura alcanzada, localizar los riesgos detectados y exportar los mapas para su análisis en herramientas externas.</w:t>
      </w:r>
    </w:p>
    <w:p>
      <w:pPr>
        <w:widowControl w:val="1"/>
        <w:numPr>
          <w:ilvl w:val="0"/>
          <w:numId w:val="1"/>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Investigadores y evaluadores: requieren reproducir los experimentos, exportar los artefactos en formato interoperable y conocer el estado de cada misión.</w:t>
      </w:r>
    </w:p>
    <w:p>
      <w:pPr>
        <w:widowControl w:val="1"/>
        <w:numPr>
          <w:ilvl w:val="0"/>
          <w:numId w:val="1"/>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Docentes y estudiantes: precisan una guía paso a paso para levantar el entorno de simulación y observar el comportamiento del agente autónomo.</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1.3 Convenciones del manual</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Tabla 1. Convenciones tipográficas empleadas en el documento.</w:t>
      </w:r>
    </w:p>
    <w:tbl>
      <w:tblPr>
        <w:tblStyle w:val="Table1"/>
        <w:tblW w:w="9360" w:type="dxa"/>
        <w:jc w:val="left"/>
        <w:tblBorders>
          <w:top w:val="single" w:sz="6" w:space="0" w:color="bdc3c7"/>
          <w:left w:val="single" w:sz="6" w:space="0" w:color="bdc3c7"/>
          <w:bottom w:val="single" w:sz="6" w:space="0" w:color="bdc3c7"/>
          <w:right w:val="single" w:sz="6" w:space="0" w:color="bdc3c7"/>
          <w:insideH w:val="single" w:sz="6" w:space="0" w:color="bdc3c7"/>
          <w:insideV w:val="single" w:sz="6" w:space="0" w:color="bdc3c7"/>
        </w:tblBorders>
        <w:tblLayout w:type="fixed"/>
        <w:tblLook w:val="0600"/>
      </w:tblPr>
      <w:tblGrid>
        <w:gridCol w:w="2600"/>
        <w:gridCol w:w="6760"/>
      </w:tblGrid>
      <w:tr>
        <w:trPr>
          <w:cantSplit w:val="0"/>
          <w:tblHeader w:val="1"/>
        </w:trPr>
        <w:tc>
          <w:tcPr>
            <w:tcW w:w="26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Convención</w:t>
            </w:r>
          </w:p>
        </w:tc>
        <w:tc>
          <w:tcPr>
            <w:tcW w:w="676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Significado</w:t>
            </w:r>
          </w:p>
        </w:tc>
      </w:tr>
      <w:tr>
        <w:trPr>
          <w:cantSplit w:val="0"/>
        </w:trPr>
        <w:tc>
          <w:tcPr>
            <w:tcW w:w="26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«Texto en negrita»</w:t>
            </w:r>
          </w:p>
        </w:tc>
        <w:tc>
          <w:tcPr>
            <w:tcW w:w="67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Nombre de un botón, campo o control de la interfaz.</w:t>
            </w:r>
          </w:p>
        </w:tc>
      </w:tr>
      <w:tr>
        <w:trPr>
          <w:cantSplit w:val="0"/>
        </w:trPr>
        <w:tc>
          <w:tcPr>
            <w:tcW w:w="26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«Comillas»</w:t>
            </w:r>
          </w:p>
        </w:tc>
        <w:tc>
          <w:tcPr>
            <w:tcW w:w="67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Respuesta literal del sistema o mensaje de error.</w:t>
            </w:r>
          </w:p>
        </w:tc>
      </w:tr>
      <w:tr>
        <w:trPr>
          <w:cantSplit w:val="0"/>
        </w:trPr>
        <w:tc>
          <w:tcPr>
            <w:tcW w:w="26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Comando de terminal</w:t>
            </w:r>
          </w:p>
        </w:tc>
        <w:tc>
          <w:tcPr>
            <w:tcW w:w="67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Instrucción que debe escribirse en una consola.</w:t>
            </w:r>
          </w:p>
        </w:tc>
      </w:tr>
      <w:tr>
        <w:trPr>
          <w:cantSplit w:val="0"/>
        </w:trPr>
        <w:tc>
          <w:tcPr>
            <w:tcW w:w="26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Ruta de archivo</w:t>
            </w:r>
          </w:p>
        </w:tc>
        <w:tc>
          <w:tcPr>
            <w:tcW w:w="67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Ubicación dentro del sistema de archivos del equipo.</w:t>
            </w:r>
          </w:p>
        </w:tc>
      </w:tr>
      <w:tr>
        <w:trPr>
          <w:cantSplit w:val="0"/>
        </w:trPr>
        <w:tc>
          <w:tcPr>
            <w:tcW w:w="26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Tabla numerada</w:t>
            </w:r>
          </w:p>
        </w:tc>
        <w:tc>
          <w:tcPr>
            <w:tcW w:w="67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Información estructurada de referencia.</w:t>
            </w:r>
          </w:p>
        </w:tc>
      </w:tr>
    </w:tbl>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1.4 Requisitos previos para operar el sistema</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Antes de abrir la aplicación de escritorio es indispensable que el simulador de mina y el servicio web del backend estén en ejecución. El procedure de arranque se detalla en el Manual de Instalación y Configuración (Anexo E); a continuación se resumen los requisitos mínimos que debe verificar el operador:</w:t>
      </w:r>
    </w:p>
    <w:p>
      <w:pPr>
        <w:widowControl w:val="1"/>
        <w:numPr>
          <w:ilvl w:val="0"/>
          <w:numId w:val="1"/>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Servidor de Minecraft Paper 26.2 en ejecución, con el plugin MineExplorer compilado e instalado en la carpeta de plugins.</w:t>
      </w:r>
    </w:p>
    <w:p>
      <w:pPr>
        <w:widowControl w:val="1"/>
        <w:numPr>
          <w:ilvl w:val="0"/>
          <w:numId w:val="1"/>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Backend en FastAPI escuchando en http://127.0.0.1:8000, con la base de datos SQLite inicializada.</w:t>
      </w:r>
    </w:p>
    <w:p>
      <w:pPr>
        <w:widowControl w:val="1"/>
        <w:numPr>
          <w:ilvl w:val="0"/>
          <w:numId w:val="1"/>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Aplicación de escritorio Electron instalada (dependencias de Node.js resueltas).</w:t>
      </w:r>
    </w:p>
    <w:p>
      <w:pPr>
        <w:widowControl w:val="1"/>
        <w:numPr>
          <w:ilvl w:val="0"/>
          <w:numId w:val="1"/>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Puertos 25565 (Minecraft), 8000 (API REST) y 8765 (WebSocket del plugin) libres en el equipo.</w:t>
      </w:r>
    </w:p>
    <w:p>
      <w:pPr>
        <w:pStyle w:val="Heading2"/>
        <w:pageBreakBefore/>
        <w:widowControl w:val="1"/>
        <w:spacing w:before="0" w:after="225" w:line="360" w:lineRule="auto"/>
        <w:rPr>
          <w:rFonts w:ascii="Arial" w:cs="Arial" w:eastAsia="Arial" w:hAnsi="Arial"/>
          <w:b w:val="1"/>
          <w:bCs w:val="1"/>
          <w:i w:val="0"/>
          <w:iCs w:val="0"/>
          <w:u w:val="none"/>
          <w:sz w:val="28"/>
          <w:szCs w:val="28"/>
        </w:rPr>
      </w:pPr>
      <w:r>
        <w:rPr>
          <w:rFonts w:ascii="Arial" w:cs="Arial" w:eastAsia="Arial" w:hAnsi="Arial"/>
          <w:b w:val="1"/>
          <w:bCs w:val="1"/>
          <w:i w:val="0"/>
          <w:iCs w:val="0"/>
          <w:u w:val="none"/>
          <w:sz w:val="28"/>
          <w:szCs w:val="28"/>
        </w:rPr>
        <w:t xml:space="preserve">2. Conocimiento del sistema</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2.1 Descripción general</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Mine Explorer 3D es una aplicación de escritorio construida sobre Electron que se apoya en un backend web escrito en Python con FastAPI. El backend, a su vez, se comunica con un simulador de galerías subterráneas implementado sobre Minecraft Paper 26.2 mediante un puente WebSocket. La exploración es ejecutada por un agente autónomo —denominado «dron» en la interfaz— que recorre las galerías sin trayectoria predefinida, guiado por un criterio de selección de la siguiente mejor vista (Next-Best-View) basado en la ganancia de información de la Teoría de la Información. Cada celda visitada se registra como vóxel en una base de datos SQLite junto con su estado de exploración, su nivel de riesgo, la confianza del modelo y su entropía residual.</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El sensor del dron es un LiDAR simulado: cada paso emite un abanico de rayos que se trazan sobre la retícula de vóxeles mediante el algoritmo de recorrido de Amanatides y Woo (1987). Los bloques detectados alimentan la 3D-CNN, que segmenta el terreno en cinco clases de riesgo (seguro, grieta, escombro, derrumbe y lava/magma) sobre parches de 7×7×7 vóxeles con ocho canales de grupo de material.</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2.2 Arquitectura funcional</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Tabla 2. Componentes del sistema y su relación con el usuario.</w:t>
      </w:r>
    </w:p>
    <w:tbl>
      <w:tblPr>
        <w:tblStyle w:val="Table1"/>
        <w:tblW w:w="9360" w:type="dxa"/>
        <w:jc w:val="left"/>
        <w:tblBorders>
          <w:top w:val="single" w:sz="6" w:space="0" w:color="bdc3c7"/>
          <w:left w:val="single" w:sz="6" w:space="0" w:color="bdc3c7"/>
          <w:bottom w:val="single" w:sz="6" w:space="0" w:color="bdc3c7"/>
          <w:right w:val="single" w:sz="6" w:space="0" w:color="bdc3c7"/>
          <w:insideH w:val="single" w:sz="6" w:space="0" w:color="bdc3c7"/>
          <w:insideV w:val="single" w:sz="6" w:space="0" w:color="bdc3c7"/>
        </w:tblBorders>
        <w:tblLayout w:type="fixed"/>
        <w:tblLook w:val="0600"/>
      </w:tblPr>
      <w:tblGrid>
        <w:gridCol w:w="1700"/>
        <w:gridCol w:w="2000"/>
        <w:gridCol w:w="3160"/>
        <w:gridCol w:w="2500"/>
      </w:tblGrid>
      <w:tr>
        <w:trPr>
          <w:cantSplit w:val="0"/>
          <w:tblHeader w:val="1"/>
        </w:trPr>
        <w:tc>
          <w:tcPr>
            <w:tcW w:w="17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Componente</w:t>
            </w:r>
          </w:p>
        </w:tc>
        <w:tc>
          <w:tcPr>
            <w:tcW w:w="20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Tecnología</w:t>
            </w:r>
          </w:p>
        </w:tc>
        <w:tc>
          <w:tcPr>
            <w:tcW w:w="316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Función</w:t>
            </w:r>
          </w:p>
        </w:tc>
        <w:tc>
          <w:tcPr>
            <w:tcW w:w="25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Relación con el usuario</w:t>
            </w:r>
          </w:p>
        </w:tc>
      </w:tr>
      <w:tr>
        <w:trPr>
          <w:cantSplit w:val="0"/>
        </w:trPr>
        <w:tc>
          <w:tcPr>
            <w:tcW w:w="17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Simulador de mina</w:t>
            </w:r>
          </w:p>
        </w:tc>
        <w:tc>
          <w:tcPr>
            <w:tcW w:w="20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Minecraft Paper 26.2 + plugin Java</w:t>
            </w:r>
          </w:p>
        </w:tc>
        <w:tc>
          <w:tcPr>
            <w:tcW w:w="31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Genera galerías deterministas de cuatro niveles y expone el sensor LiDAR simulado.</w:t>
            </w:r>
          </w:p>
        </w:tc>
        <w:tc>
          <w:tcPr>
            <w:tcW w:w="25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Indirecta: se observa desde la ventana de Minecraft.</w:t>
            </w:r>
          </w:p>
        </w:tc>
      </w:tr>
      <w:tr>
        <w:trPr>
          <w:cantSplit w:val="0"/>
        </w:trPr>
        <w:tc>
          <w:tcPr>
            <w:tcW w:w="17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Backend</w:t>
            </w:r>
          </w:p>
        </w:tc>
        <w:tc>
          <w:tcPr>
            <w:tcW w:w="20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Python 3.14, FastAPI, SQLite</w:t>
            </w:r>
          </w:p>
        </w:tc>
        <w:tc>
          <w:tcPr>
            <w:tcW w:w="31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API REST, autenticación, persistencia volumétrica y exportación de resultados.</w:t>
            </w:r>
          </w:p>
        </w:tc>
        <w:tc>
          <w:tcPr>
            <w:tcW w:w="25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Indirecta: se consume por HTTP.</w:t>
            </w:r>
          </w:p>
        </w:tc>
      </w:tr>
      <w:tr>
        <w:trPr>
          <w:cantSplit w:val="0"/>
        </w:trPr>
        <w:tc>
          <w:tcPr>
            <w:tcW w:w="17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Planificador</w:t>
            </w:r>
          </w:p>
        </w:tc>
        <w:tc>
          <w:tcPr>
            <w:tcW w:w="20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Módulo mc_launcher (Python)</w:t>
            </w:r>
          </w:p>
        </w:tc>
        <w:tc>
          <w:tcPr>
            <w:tcW w:w="31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Resuelve el Next-Best-View maximizando la ganancia de información G(c) = Σ H(Xu).</w:t>
            </w:r>
          </w:p>
        </w:tc>
        <w:tc>
          <w:tcPr>
            <w:tcW w:w="25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Indirecta: gobierna el desplazamiento del dron.</w:t>
            </w:r>
          </w:p>
        </w:tc>
      </w:tr>
      <w:tr>
        <w:trPr>
          <w:cantSplit w:val="0"/>
        </w:trPr>
        <w:tc>
          <w:tcPr>
            <w:tcW w:w="17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Modelo de riesgo</w:t>
            </w:r>
          </w:p>
        </w:tc>
        <w:tc>
          <w:tcPr>
            <w:tcW w:w="20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3D-CNN en PyTorch</w:t>
            </w:r>
          </w:p>
        </w:tc>
        <w:tc>
          <w:tcPr>
            <w:tcW w:w="31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Segmenta el terreno y estima la clase de riesgo de cada vóxel.</w:t>
            </w:r>
          </w:p>
        </w:tc>
        <w:tc>
          <w:tcPr>
            <w:tcW w:w="25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Indirecta: su resultado se ve en el mapa y en los reportes.</w:t>
            </w:r>
          </w:p>
        </w:tc>
      </w:tr>
      <w:tr>
        <w:trPr>
          <w:cantSplit w:val="0"/>
        </w:trPr>
        <w:tc>
          <w:tcPr>
            <w:tcW w:w="17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Visor de escritorio</w:t>
            </w:r>
          </w:p>
        </w:tc>
        <w:tc>
          <w:tcPr>
            <w:tcW w:w="20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Electron 3x + Three.js r170</w:t>
            </w:r>
          </w:p>
        </w:tc>
        <w:tc>
          <w:tcPr>
            <w:tcW w:w="31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Interfaz de operación, renderizado 3D, control de misiones y exportación.</w:t>
            </w:r>
          </w:p>
        </w:tc>
        <w:tc>
          <w:tcPr>
            <w:tcW w:w="25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Directa: es la aplicación que utiliza el operador.</w:t>
            </w:r>
          </w:p>
        </w:tc>
      </w:tr>
    </w:tbl>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2.3 Terminología</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Tabla 3. Glosario de términos empleados en la interfaz y en la documentación.</w:t>
      </w:r>
    </w:p>
    <w:tbl>
      <w:tblPr>
        <w:tblStyle w:val="Table1"/>
        <w:tblW w:w="9360" w:type="dxa"/>
        <w:jc w:val="left"/>
        <w:tblBorders>
          <w:top w:val="single" w:sz="6" w:space="0" w:color="bdc3c7"/>
          <w:left w:val="single" w:sz="6" w:space="0" w:color="bdc3c7"/>
          <w:bottom w:val="single" w:sz="6" w:space="0" w:color="bdc3c7"/>
          <w:right w:val="single" w:sz="6" w:space="0" w:color="bdc3c7"/>
          <w:insideH w:val="single" w:sz="6" w:space="0" w:color="bdc3c7"/>
          <w:insideV w:val="single" w:sz="6" w:space="0" w:color="bdc3c7"/>
        </w:tblBorders>
        <w:tblLayout w:type="fixed"/>
        <w:tblLook w:val="0600"/>
      </w:tblPr>
      <w:tblGrid>
        <w:gridCol w:w="2100"/>
        <w:gridCol w:w="7260"/>
      </w:tblGrid>
      <w:tr>
        <w:trPr>
          <w:cantSplit w:val="0"/>
          <w:tblHeader w:val="1"/>
        </w:trPr>
        <w:tc>
          <w:tcPr>
            <w:tcW w:w="21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Término</w:t>
            </w:r>
          </w:p>
        </w:tc>
        <w:tc>
          <w:tcPr>
            <w:tcW w:w="726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Definición</w:t>
            </w:r>
          </w:p>
        </w:tc>
      </w:tr>
      <w:tr>
        <w:trPr>
          <w:cantSplit w:val="0"/>
        </w:trPr>
        <w:tc>
          <w:tcPr>
            <w:tcW w:w="21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Mina</w:t>
            </w:r>
          </w:p>
        </w:tc>
        <w:tc>
          <w:tcPr>
            <w:tcW w:w="72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Descripción del yacimiento simulado, caracterizada por su nombre y su semilla aleatoria; la semilla determina de forma determinista la geometría de las galerías.</w:t>
            </w:r>
          </w:p>
        </w:tc>
      </w:tr>
      <w:tr>
        <w:trPr>
          <w:cantSplit w:val="0"/>
        </w:trPr>
        <w:tc>
          <w:tcPr>
            <w:tcW w:w="21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Misión</w:t>
            </w:r>
          </w:p>
        </w:tc>
        <w:tc>
          <w:tcPr>
            <w:tcW w:w="72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Ejecución concreta de la exploración sobre una mina. Posee estado, métricas y artefactos de exportación propios.</w:t>
            </w:r>
          </w:p>
        </w:tc>
      </w:tr>
      <w:tr>
        <w:trPr>
          <w:cantSplit w:val="0"/>
        </w:trPr>
        <w:tc>
          <w:tcPr>
            <w:tcW w:w="21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Dron</w:t>
            </w:r>
          </w:p>
        </w:tc>
        <w:tc>
          <w:tcPr>
            <w:tcW w:w="72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Entidad autonomous que ejecuta la exploración dentro del simulador.</w:t>
            </w:r>
          </w:p>
        </w:tc>
      </w:tr>
      <w:tr>
        <w:trPr>
          <w:cantSplit w:val="0"/>
        </w:trPr>
        <w:tc>
          <w:tcPr>
            <w:tcW w:w="21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Vóxel</w:t>
            </w:r>
          </w:p>
        </w:tc>
        <w:tc>
          <w:tcPr>
            <w:tcW w:w="72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Unidad mínima del mapa volumétrico; se almacena con su estado de exploración, riesgo, confianza, entropía y paso de la misión.</w:t>
            </w:r>
          </w:p>
        </w:tc>
      </w:tr>
      <w:tr>
        <w:trPr>
          <w:cantSplit w:val="0"/>
        </w:trPr>
        <w:tc>
          <w:tcPr>
            <w:tcW w:w="21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Nivel (banda)</w:t>
            </w:r>
          </w:p>
        </w:tc>
        <w:tc>
          <w:tcPr>
            <w:tcW w:w="72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Cada uno de los cuatro sectores horizontales de la mina. El nivel se deduce de la coordenada X dividiendo entre 112.</w:t>
            </w:r>
          </w:p>
        </w:tc>
      </w:tr>
      <w:tr>
        <w:trPr>
          <w:cantSplit w:val="0"/>
        </w:trPr>
        <w:tc>
          <w:tcPr>
            <w:tcW w:w="21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Cobertura</w:t>
            </w:r>
          </w:p>
        </w:tc>
        <w:tc>
          <w:tcPr>
            <w:tcW w:w="72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Porcentaje del espacio de aire conocido que ha sido efectivamente recorrido por el dron.</w:t>
            </w:r>
          </w:p>
        </w:tc>
      </w:tr>
      <w:tr>
        <w:trPr>
          <w:cantSplit w:val="0"/>
        </w:trPr>
        <w:tc>
          <w:tcPr>
            <w:tcW w:w="21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Entropía residual</w:t>
            </w:r>
          </w:p>
        </w:tc>
        <w:tc>
          <w:tcPr>
            <w:tcW w:w="72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Incertidumbre media que queda asociada a las celdas ya observadas; su descenso indica que el entorno está siendo comprendido.</w:t>
            </w:r>
          </w:p>
        </w:tc>
      </w:tr>
      <w:tr>
        <w:trPr>
          <w:cantSplit w:val="0"/>
        </w:trPr>
        <w:tc>
          <w:tcPr>
            <w:tcW w:w="21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Checkpoint</w:t>
            </w:r>
          </w:p>
        </w:tc>
        <w:tc>
          <w:tcPr>
            <w:tcW w:w="72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Instantánea serializada del estado del agente que permite pausar, reanudar o finalizar una exploración incluso tras reiniciar el servidor.</w:t>
            </w:r>
          </w:p>
        </w:tc>
      </w:tr>
      <w:tr>
        <w:trPr>
          <w:cantSplit w:val="0"/>
        </w:trPr>
        <w:tc>
          <w:tcPr>
            <w:tcW w:w="21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Artefacto</w:t>
            </w:r>
          </w:p>
        </w:tc>
        <w:tc>
          <w:tcPr>
            <w:tcW w:w="72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Archivo generado a partir de los datos de una misión (CSV, PLY, OBJ, MTL, PNG o PDF).</w:t>
            </w:r>
          </w:p>
        </w:tc>
      </w:tr>
      <w:tr>
        <w:trPr>
          <w:cantSplit w:val="0"/>
        </w:trPr>
        <w:tc>
          <w:tcPr>
            <w:tcW w:w="21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Token</w:t>
            </w:r>
          </w:p>
        </w:tc>
        <w:tc>
          <w:tcPr>
            <w:tcW w:w="72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Credencial JWT emitida por el backend; se almacena localmente en la aplicación y caduca a las 12 horas.</w:t>
            </w:r>
          </w:p>
        </w:tc>
      </w:tr>
    </w:tbl>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p>
      <w:pPr>
        <w:pStyle w:val="Heading2"/>
        <w:pageBreakBefore/>
        <w:widowControl w:val="1"/>
        <w:spacing w:before="0" w:after="225" w:line="360" w:lineRule="auto"/>
        <w:rPr>
          <w:rFonts w:ascii="Arial" w:cs="Arial" w:eastAsia="Arial" w:hAnsi="Arial"/>
          <w:b w:val="1"/>
          <w:bCs w:val="1"/>
          <w:i w:val="0"/>
          <w:iCs w:val="0"/>
          <w:u w:val="none"/>
          <w:sz w:val="28"/>
          <w:szCs w:val="28"/>
        </w:rPr>
      </w:pPr>
      <w:r>
        <w:rPr>
          <w:rFonts w:ascii="Arial" w:cs="Arial" w:eastAsia="Arial" w:hAnsi="Arial"/>
          <w:b w:val="1"/>
          <w:bCs w:val="1"/>
          <w:i w:val="0"/>
          <w:iCs w:val="0"/>
          <w:u w:val="none"/>
          <w:sz w:val="28"/>
          <w:szCs w:val="28"/>
        </w:rPr>
        <w:t xml:space="preserve">3. Puesta en marcha</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3.1 Encendido del simulador y del backend</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El proyecto incluye un script que deja operativo el conjunto completo con una sola orden. El script libera los puertos 25565 y 8000, compila el plugin, arranca el servidor Paper en segundo plano y lanza el backend con Uvicorn.</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Comando de arranque integral del sistema.</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cd /ruta/del/proyecto</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bash scripts/start_all.sh</w:t>
      </w:r>
    </w:p>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Al finalizar, el script muestra en pantalla las direcciones de los servicios habilitados y la ruta de los archivos de registro, entre ellos:</w:t>
      </w:r>
    </w:p>
    <w:p>
      <w:pPr>
        <w:widowControl w:val="1"/>
        <w:numPr>
          <w:ilvl w:val="0"/>
          <w:numId w:val="1"/>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Swagger (documentación interactiva de la API): http://127.0.0.1:8000/docs</w:t>
      </w:r>
    </w:p>
    <w:p>
      <w:pPr>
        <w:widowControl w:val="1"/>
        <w:numPr>
          <w:ilvl w:val="0"/>
          <w:numId w:val="1"/>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Visor 3D accesible desde el navegador: http://127.0.0.1:8000/static/viewer.html</w:t>
      </w:r>
    </w:p>
    <w:p>
      <w:pPr>
        <w:widowControl w:val="1"/>
        <w:numPr>
          <w:ilvl w:val="0"/>
          <w:numId w:val="1"/>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Endpoint de verificación de estado: http://127.0.0.1:8000/health</w:t>
      </w:r>
    </w:p>
    <w:p>
      <w:pPr>
        <w:widowControl w:val="1"/>
        <w:numPr>
          <w:ilvl w:val="0"/>
          <w:numId w:val="1"/>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Registro del servidor de Minecraft: /tmp/mc_server.log</w:t>
      </w:r>
    </w:p>
    <w:p>
      <w:pPr>
        <w:widowControl w:val="1"/>
        <w:numPr>
          <w:ilvl w:val="0"/>
          <w:numId w:val="1"/>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Registro del backend: /tmp/uvicorn_test.log</w:t>
      </w:r>
    </w:p>
    <w:p>
      <w:pPr>
        <w:widowControl w:val="1"/>
        <w:pBdr>
          <w:top w:val="single" w:sz="6" w:space="4" w:color="bdc3c7"/>
          <w:left w:val="single" w:sz="6" w:space="4" w:color="bdc3c7"/>
          <w:bottom w:val="single" w:sz="6" w:space="4" w:color="bdc3c7"/>
          <w:right w:val="single" w:sz="6" w:space="4" w:color="bdc3c7"/>
        </w:pBdr>
        <w:shd w:val="clear" w:fill="eef3f8"/>
        <w:spacing w:before="120" w:after="240" w:line="300" w:lineRule="auto"/>
        <w:jc w:val="both"/>
        <w:rPr>
          <w:rFonts w:ascii="Arial" w:cs="Arial" w:eastAsia="Arial" w:hAnsi="Arial"/>
          <w:b w:val="0"/>
          <w:bCs w:val="0"/>
          <w:i w:val="0"/>
          <w:iCs w:val="0"/>
          <w:u w:val="none"/>
          <w:sz w:val="22"/>
          <w:szCs w:val="22"/>
        </w:rPr>
      </w:pPr>
      <w:r>
        <w:rPr>
          <w:rFonts w:ascii="Arial" w:cs="Arial" w:eastAsia="Arial" w:hAnsi="Arial"/>
          <w:b w:val="1"/>
          <w:bCs w:val="1"/>
          <w:i w:val="0"/>
          <w:iCs w:val="0"/>
          <w:u w:val="none"/>
          <w:sz w:val="22"/>
          <w:szCs w:val="22"/>
        </w:rPr>
        <w:t xml:space="preserve">Nota: </w:t>
      </w:r>
      <w:r>
        <w:rPr>
          <w:rFonts w:ascii="Arial" w:cs="Arial" w:eastAsia="Arial" w:hAnsi="Arial"/>
          <w:b w:val="0"/>
          <w:bCs w:val="0"/>
          <w:i w:val="0"/>
          <w:iCs w:val="0"/>
          <w:u w:val="none"/>
          <w:sz w:val="22"/>
          <w:szCs w:val="22"/>
        </w:rPr>
        <w:t xml:space="preserve">El apagado ordenado del sistema se realiza con «bash scripts/stop_all.sh», que libera ambos puertos. Es recomendable hacerlo antes de apagar el equipo para no dejar procesos huérfanos.</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3.2 Apertura de la aplicación de escritorio</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Una vez que el backend responde, la aplicación de escritorio se abre desde la carpeta electron-app del proyecto:</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Arranque de la aplicación de escritorio.</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cd electron-app</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npm start</w:t>
      </w:r>
    </w:p>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Se abre entonces la ventana «Mine Explorer 3D», con un tamaño inicial de 1280×800 píxeles y un tamaño mínimo de 800×600 píxeles. Si la ventana presenta la pantalla de acceso es porque todavía no se ha iniciado sesión; si la sesión ya estaba iniciada, el sistema abre directamente el panel principal.</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3.3 Verificación del estado de la conexión</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En la esquina superior derecha del panel central se encuentra el indicador del dron, que refleja el estado del enlace con el simulador. Se actualiza automáticamente cada tres segundos y admite tres estados:</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Tabla 4. Estados del indicador del dron.</w:t>
      </w:r>
    </w:p>
    <w:tbl>
      <w:tblPr>
        <w:tblStyle w:val="Table1"/>
        <w:tblW w:w="9360" w:type="dxa"/>
        <w:jc w:val="left"/>
        <w:tblBorders>
          <w:top w:val="single" w:sz="6" w:space="0" w:color="bdc3c7"/>
          <w:left w:val="single" w:sz="6" w:space="0" w:color="bdc3c7"/>
          <w:bottom w:val="single" w:sz="6" w:space="0" w:color="bdc3c7"/>
          <w:right w:val="single" w:sz="6" w:space="0" w:color="bdc3c7"/>
          <w:insideH w:val="single" w:sz="6" w:space="0" w:color="bdc3c7"/>
          <w:insideV w:val="single" w:sz="6" w:space="0" w:color="bdc3c7"/>
        </w:tblBorders>
        <w:tblLayout w:type="fixed"/>
        <w:tblLook w:val="0600"/>
      </w:tblPr>
      <w:tblGrid>
        <w:gridCol w:w="2200"/>
        <w:gridCol w:w="3200"/>
        <w:gridCol w:w="3960"/>
      </w:tblGrid>
      <w:tr>
        <w:trPr>
          <w:cantSplit w:val="0"/>
          <w:tblHeader w:val="1"/>
        </w:trPr>
        <w:tc>
          <w:tcPr>
            <w:tcW w:w="22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Estado</w:t>
            </w:r>
          </w:p>
        </w:tc>
        <w:tc>
          <w:tcPr>
            <w:tcW w:w="32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Significado</w:t>
            </w:r>
          </w:p>
        </w:tc>
        <w:tc>
          <w:tcPr>
            <w:tcW w:w="396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Acción recomendada</w:t>
            </w:r>
          </w:p>
        </w:tc>
      </w:tr>
      <w:tr>
        <w:trPr>
          <w:cantSplit w:val="0"/>
        </w:trPr>
        <w:tc>
          <w:tcPr>
            <w:tcW w:w="22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«Dron: sin conexión»</w:t>
            </w:r>
          </w:p>
        </w:tc>
        <w:tc>
          <w:tcPr>
            <w:tcW w:w="32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El backend no logra el puente WebSocket con el plugin.</w:t>
            </w:r>
          </w:p>
        </w:tc>
        <w:tc>
          <w:tcPr>
            <w:tcW w:w="39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Verificar que el servidor Paper esté en ejecución y que el plugin MineExplorer esté instalado en server/plugins/.</w:t>
            </w:r>
          </w:p>
        </w:tc>
      </w:tr>
      <w:tr>
        <w:trPr>
          <w:cantSplit w:val="0"/>
        </w:trPr>
        <w:tc>
          <w:tcPr>
            <w:tcW w:w="22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«Dron: en (x, y, z)»</w:t>
            </w:r>
          </w:p>
        </w:tc>
        <w:tc>
          <w:tcPr>
            <w:tcW w:w="32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El simulador responde; el dron permanece en la posición indicada.</w:t>
            </w:r>
          </w:p>
        </w:tc>
        <w:tc>
          <w:tcPr>
            <w:tcW w:w="39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Situación normal antes de iniciar una exploración.</w:t>
            </w:r>
          </w:p>
        </w:tc>
      </w:tr>
      <w:tr>
        <w:trPr>
          <w:cantSplit w:val="0"/>
        </w:trPr>
        <w:tc>
          <w:tcPr>
            <w:tcW w:w="22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«Dron: navegando (x, y, z)»</w:t>
            </w:r>
          </w:p>
        </w:tc>
        <w:tc>
          <w:tcPr>
            <w:tcW w:w="32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El dron se desplaza como parte de una exploración activa.</w:t>
            </w:r>
          </w:p>
        </w:tc>
        <w:tc>
          <w:tcPr>
            <w:tcW w:w="39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Consultar la tarjeta de la misión correspondiente para seguir su progreso.</w:t>
            </w:r>
          </w:p>
        </w:tc>
      </w:tr>
    </w:tbl>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p>
      <w:pPr>
        <w:pStyle w:val="Heading2"/>
        <w:pageBreakBefore/>
        <w:widowControl w:val="1"/>
        <w:spacing w:before="0" w:after="225" w:line="360" w:lineRule="auto"/>
        <w:rPr>
          <w:rFonts w:ascii="Arial" w:cs="Arial" w:eastAsia="Arial" w:hAnsi="Arial"/>
          <w:b w:val="1"/>
          <w:bCs w:val="1"/>
          <w:i w:val="0"/>
          <w:iCs w:val="0"/>
          <w:u w:val="none"/>
          <w:sz w:val="28"/>
          <w:szCs w:val="28"/>
        </w:rPr>
      </w:pPr>
      <w:r>
        <w:rPr>
          <w:rFonts w:ascii="Arial" w:cs="Arial" w:eastAsia="Arial" w:hAnsi="Arial"/>
          <w:b w:val="1"/>
          <w:bCs w:val="1"/>
          <w:i w:val="0"/>
          <w:iCs w:val="0"/>
          <w:u w:val="none"/>
          <w:sz w:val="28"/>
          <w:szCs w:val="28"/>
        </w:rPr>
        <w:t xml:space="preserve">4. Interfaz de la aplicación</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4.1 Barra superior</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La barra superior presenta el nombre del sistema a la izquierda, con el subtítulo «Exploración Autónoma de Minas Subterráneas», y a la derecha el botón de cuenta, que muestra la inicial del usuario registrado.</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4.2 Menú de cuenta</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Al pulsar el botón de cuenta se despliega un menú con el nombre de usuario, el correo electrónico registrado y la opción «Cerrar sesión (logout)». El cierre de sesión elimina la credencial almacenada en el equipo y devuelve al usuario a la pantalla de acceso.</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4.3 Panel lateral izquierdo</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El panel izquierdo agrupa las acciones de mayor frecuencia y un resumen del estado global:</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Tabla 5. Elementos del panel lateral izquierdo.</w:t>
      </w:r>
    </w:p>
    <w:tbl>
      <w:tblPr>
        <w:tblStyle w:val="Table1"/>
        <w:tblW w:w="9360" w:type="dxa"/>
        <w:jc w:val="left"/>
        <w:tblBorders>
          <w:top w:val="single" w:sz="6" w:space="0" w:color="bdc3c7"/>
          <w:left w:val="single" w:sz="6" w:space="0" w:color="bdc3c7"/>
          <w:bottom w:val="single" w:sz="6" w:space="0" w:color="bdc3c7"/>
          <w:right w:val="single" w:sz="6" w:space="0" w:color="bdc3c7"/>
          <w:insideH w:val="single" w:sz="6" w:space="0" w:color="bdc3c7"/>
          <w:insideV w:val="single" w:sz="6" w:space="0" w:color="bdc3c7"/>
        </w:tblBorders>
        <w:tblLayout w:type="fixed"/>
        <w:tblLook w:val="0600"/>
      </w:tblPr>
      <w:tblGrid>
        <w:gridCol w:w="3200"/>
        <w:gridCol w:w="6160"/>
      </w:tblGrid>
      <w:tr>
        <w:trPr>
          <w:cantSplit w:val="0"/>
          <w:tblHeader w:val="1"/>
        </w:trPr>
        <w:tc>
          <w:tcPr>
            <w:tcW w:w="32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Elemento</w:t>
            </w:r>
          </w:p>
        </w:tc>
        <w:tc>
          <w:tcPr>
            <w:tcW w:w="616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Descripción</w:t>
            </w:r>
          </w:p>
        </w:tc>
      </w:tr>
      <w:tr>
        <w:trPr>
          <w:cantSplit w:val="0"/>
        </w:trPr>
        <w:tc>
          <w:tcPr>
            <w:tcW w:w="32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 INICIAR NUEVA EXPLORACIÓN»</w:t>
            </w:r>
          </w:p>
        </w:tc>
        <w:tc>
          <w:tcPr>
            <w:tcW w:w="61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Botón principal. Abre el diálogo de creación de mina y misión y dispara la exploración.</w:t>
            </w:r>
          </w:p>
        </w:tc>
      </w:tr>
      <w:tr>
        <w:trPr>
          <w:cantSplit w:val="0"/>
        </w:trPr>
        <w:tc>
          <w:tcPr>
            <w:tcW w:w="32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 Importar modelo 3D (PLY / OBJ)»</w:t>
            </w:r>
          </w:p>
        </w:tc>
        <w:tc>
          <w:tcPr>
            <w:tcW w:w="61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Permite abrir un modelo tridimensional externo para visualizarlo en el visor, sin crear ninguna misión.</w:t>
            </w:r>
          </w:p>
        </w:tc>
      </w:tr>
      <w:tr>
        <w:trPr>
          <w:cantSplit w:val="0"/>
        </w:trPr>
        <w:tc>
          <w:tcPr>
            <w:tcW w:w="32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ESTADÍSTICAS</w:t>
            </w:r>
          </w:p>
        </w:tc>
        <w:tc>
          <w:tcPr>
            <w:tcW w:w="61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Muestra el número total de misiones y el número de misiones activas.</w:t>
            </w:r>
          </w:p>
        </w:tc>
      </w:tr>
      <w:tr>
        <w:trPr>
          <w:cantSplit w:val="0"/>
        </w:trPr>
        <w:tc>
          <w:tcPr>
            <w:tcW w:w="32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HISTORIAL</w:t>
            </w:r>
          </w:p>
        </w:tc>
        <w:tc>
          <w:tcPr>
            <w:tcW w:w="61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Muestra el número de exploraciones completadas.</w:t>
            </w:r>
          </w:p>
        </w:tc>
      </w:tr>
      <w:tr>
        <w:trPr>
          <w:cantSplit w:val="0"/>
        </w:trPr>
        <w:tc>
          <w:tcPr>
            <w:tcW w:w="32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Ayuda de navegación</w:t>
            </w:r>
          </w:p>
        </w:tc>
        <w:tc>
          <w:tcPr>
            <w:tcW w:w="61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Recordatorio de los gestos del visor: arrastrar para rotar, rueda para acercar y clic derecho para desplazar.</w:t>
            </w:r>
          </w:p>
        </w:tc>
      </w:tr>
    </w:tbl>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4.4 Panel central «Mapas / Misiones»</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El panel central lista las misiones del usuario autenticado. Cada misión se representa mediante una tarjeta que incluye el identificador numérico, el nombre, una etiqueta de color con el estado, el nombre de la mina asociada, las métricas disponibles y los botones de acción. En la cabecera del panel se encuentran el contador de misiones, el indicador del dron y el botón «↻ Listar mapas», que fuerza la consulta de la lista al backend.</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Tabla 6. Botones disponibles en la tarjeta de una misión, según su estado.</w:t>
      </w:r>
    </w:p>
    <w:tbl>
      <w:tblPr>
        <w:tblStyle w:val="Table1"/>
        <w:tblW w:w="9360" w:type="dxa"/>
        <w:jc w:val="left"/>
        <w:tblBorders>
          <w:top w:val="single" w:sz="6" w:space="0" w:color="bdc3c7"/>
          <w:left w:val="single" w:sz="6" w:space="0" w:color="bdc3c7"/>
          <w:bottom w:val="single" w:sz="6" w:space="0" w:color="bdc3c7"/>
          <w:right w:val="single" w:sz="6" w:space="0" w:color="bdc3c7"/>
          <w:insideH w:val="single" w:sz="6" w:space="0" w:color="bdc3c7"/>
          <w:insideV w:val="single" w:sz="6" w:space="0" w:color="bdc3c7"/>
        </w:tblBorders>
        <w:tblLayout w:type="fixed"/>
        <w:tblLook w:val="0600"/>
      </w:tblPr>
      <w:tblGrid>
        <w:gridCol w:w="1900"/>
        <w:gridCol w:w="2300"/>
        <w:gridCol w:w="5160"/>
      </w:tblGrid>
      <w:tr>
        <w:trPr>
          <w:cantSplit w:val="0"/>
          <w:tblHeader w:val="1"/>
        </w:trPr>
        <w:tc>
          <w:tcPr>
            <w:tcW w:w="19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Botón</w:t>
            </w:r>
          </w:p>
        </w:tc>
        <w:tc>
          <w:tcPr>
            <w:tcW w:w="23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Estado exigido</w:t>
            </w:r>
          </w:p>
        </w:tc>
        <w:tc>
          <w:tcPr>
            <w:tcW w:w="516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Efecto</w:t>
            </w:r>
          </w:p>
        </w:tc>
      </w:tr>
      <w:tr>
        <w:trPr>
          <w:cantSplit w:val="0"/>
        </w:trPr>
        <w:tc>
          <w:tcPr>
            <w:tcW w:w="19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Iniciar</w:t>
            </w:r>
          </w:p>
        </w:tc>
        <w:tc>
          <w:tcPr>
            <w:tcW w:w="23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Pendiente</w:t>
            </w:r>
          </w:p>
        </w:tc>
        <w:tc>
          <w:tcPr>
            <w:tcW w:w="51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Arranca la exploración autónoma de la misión.</w:t>
            </w:r>
          </w:p>
        </w:tc>
      </w:tr>
      <w:tr>
        <w:trPr>
          <w:cantSplit w:val="0"/>
        </w:trPr>
        <w:tc>
          <w:tcPr>
            <w:tcW w:w="19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Pausar</w:t>
            </w:r>
          </w:p>
        </w:tc>
        <w:tc>
          <w:tcPr>
            <w:tcW w:w="23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En progreso</w:t>
            </w:r>
          </w:p>
        </w:tc>
        <w:tc>
          <w:tcPr>
            <w:tcW w:w="51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Detiene temporalmente el avance del dron conservando el checkpoint.</w:t>
            </w:r>
          </w:p>
        </w:tc>
      </w:tr>
      <w:tr>
        <w:trPr>
          <w:cantSplit w:val="0"/>
        </w:trPr>
        <w:tc>
          <w:tcPr>
            <w:tcW w:w="19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Reanudar</w:t>
            </w:r>
          </w:p>
        </w:tc>
        <w:tc>
          <w:tcPr>
            <w:tcW w:w="23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En pausa</w:t>
            </w:r>
          </w:p>
        </w:tc>
        <w:tc>
          <w:tcPr>
            <w:tcW w:w="51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Retoma la exploración desde el último checkpoint válido.</w:t>
            </w:r>
          </w:p>
        </w:tc>
      </w:tr>
      <w:tr>
        <w:trPr>
          <w:cantSplit w:val="0"/>
        </w:trPr>
        <w:tc>
          <w:tcPr>
            <w:tcW w:w="19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Finalizar</w:t>
            </w:r>
          </w:p>
        </w:tc>
        <w:tc>
          <w:tcPr>
            <w:tcW w:w="23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En progreso o En pausa</w:t>
            </w:r>
          </w:p>
        </w:tc>
        <w:tc>
          <w:tcPr>
            <w:tcW w:w="51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Cierra la exploración y consolida las métricas; requiere confirmación explícita.</w:t>
            </w:r>
          </w:p>
        </w:tc>
      </w:tr>
      <w:tr>
        <w:trPr>
          <w:cantSplit w:val="0"/>
        </w:trPr>
        <w:tc>
          <w:tcPr>
            <w:tcW w:w="19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Ver en Minecraft</w:t>
            </w:r>
          </w:p>
        </w:tc>
        <w:tc>
          <w:tcPr>
            <w:tcW w:w="23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En pausa o Completada</w:t>
            </w:r>
          </w:p>
        </w:tc>
        <w:tc>
          <w:tcPr>
            <w:tcW w:w="51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Carga el mapa de la misión en el simulador sin ejecutar la exploración.</w:t>
            </w:r>
          </w:p>
        </w:tc>
      </w:tr>
      <w:tr>
        <w:trPr>
          <w:cantSplit w:val="0"/>
        </w:trPr>
        <w:tc>
          <w:tcPr>
            <w:tcW w:w="19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Ver en 3D</w:t>
            </w:r>
          </w:p>
        </w:tc>
        <w:tc>
          <w:tcPr>
            <w:tcW w:w="23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Cualquiera</w:t>
            </w:r>
          </w:p>
        </w:tc>
        <w:tc>
          <w:tcPr>
            <w:tcW w:w="51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Abre el visor tridimensional de la misión.</w:t>
            </w:r>
          </w:p>
        </w:tc>
      </w:tr>
      <w:tr>
        <w:trPr>
          <w:cantSplit w:val="0"/>
        </w:trPr>
        <w:tc>
          <w:tcPr>
            <w:tcW w:w="19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Exportar…</w:t>
            </w:r>
          </w:p>
        </w:tc>
        <w:tc>
          <w:tcPr>
            <w:tcW w:w="23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Cualquiera</w:t>
            </w:r>
          </w:p>
        </w:tc>
        <w:tc>
          <w:tcPr>
            <w:tcW w:w="51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Despliega los formatos de exportación disponibles.</w:t>
            </w:r>
          </w:p>
        </w:tc>
      </w:tr>
    </w:tbl>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4.5 Etiquetas de estado</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Tabla 7. Etiquetas de estado de una misión.</w:t>
      </w:r>
    </w:p>
    <w:tbl>
      <w:tblPr>
        <w:tblStyle w:val="Table1"/>
        <w:tblW w:w="9360" w:type="dxa"/>
        <w:jc w:val="left"/>
        <w:tblBorders>
          <w:top w:val="single" w:sz="6" w:space="0" w:color="bdc3c7"/>
          <w:left w:val="single" w:sz="6" w:space="0" w:color="bdc3c7"/>
          <w:bottom w:val="single" w:sz="6" w:space="0" w:color="bdc3c7"/>
          <w:right w:val="single" w:sz="6" w:space="0" w:color="bdc3c7"/>
          <w:insideH w:val="single" w:sz="6" w:space="0" w:color="bdc3c7"/>
          <w:insideV w:val="single" w:sz="6" w:space="0" w:color="bdc3c7"/>
        </w:tblBorders>
        <w:tblLayout w:type="fixed"/>
        <w:tblLook w:val="0600"/>
      </w:tblPr>
      <w:tblGrid>
        <w:gridCol w:w="2200"/>
        <w:gridCol w:w="7160"/>
      </w:tblGrid>
      <w:tr>
        <w:trPr>
          <w:cantSplit w:val="0"/>
          <w:tblHeader w:val="1"/>
        </w:trPr>
        <w:tc>
          <w:tcPr>
            <w:tcW w:w="22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Etiqueta</w:t>
            </w:r>
          </w:p>
        </w:tc>
        <w:tc>
          <w:tcPr>
            <w:tcW w:w="716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Significado</w:t>
            </w:r>
          </w:p>
        </w:tc>
      </w:tr>
      <w:tr>
        <w:trPr>
          <w:cantSplit w:val="0"/>
        </w:trPr>
        <w:tc>
          <w:tcPr>
            <w:tcW w:w="22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Pendiente</w:t>
            </w:r>
          </w:p>
        </w:tc>
        <w:tc>
          <w:tcPr>
            <w:tcW w:w="71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La misión fue creada pero la exploración aún no se ha iniciado.</w:t>
            </w:r>
          </w:p>
        </w:tc>
      </w:tr>
      <w:tr>
        <w:trPr>
          <w:cantSplit w:val="0"/>
        </w:trPr>
        <w:tc>
          <w:tcPr>
            <w:tcW w:w="22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En progreso</w:t>
            </w:r>
          </w:p>
        </w:tc>
        <w:tc>
          <w:tcPr>
            <w:tcW w:w="71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La exploración está en ejecución y el dron se desplaza activamente.</w:t>
            </w:r>
          </w:p>
        </w:tc>
      </w:tr>
      <w:tr>
        <w:trPr>
          <w:cantSplit w:val="0"/>
        </w:trPr>
        <w:tc>
          <w:tcPr>
            <w:tcW w:w="22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En pausa</w:t>
            </w:r>
          </w:p>
        </w:tc>
        <w:tc>
          <w:tcPr>
            <w:tcW w:w="71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La exploración está detenida y puede reanudarse desde el checkpoint.</w:t>
            </w:r>
          </w:p>
        </w:tc>
      </w:tr>
      <w:tr>
        <w:trPr>
          <w:cantSplit w:val="0"/>
        </w:trPr>
        <w:tc>
          <w:tcPr>
            <w:tcW w:w="22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Completada</w:t>
            </w:r>
          </w:p>
        </w:tc>
        <w:tc>
          <w:tcPr>
            <w:tcW w:w="71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La exploración terminó; los artefactos exportables están disponibles.</w:t>
            </w:r>
          </w:p>
        </w:tc>
      </w:tr>
      <w:tr>
        <w:trPr>
          <w:cantSplit w:val="0"/>
        </w:trPr>
        <w:tc>
          <w:tcPr>
            <w:tcW w:w="22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Cancelada</w:t>
            </w:r>
          </w:p>
        </w:tc>
        <w:tc>
          <w:tcPr>
            <w:tcW w:w="71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La misión fue cancelada sin conclusión normal.</w:t>
            </w:r>
          </w:p>
        </w:tc>
      </w:tr>
    </w:tbl>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p>
      <w:pPr>
        <w:pStyle w:val="Heading2"/>
        <w:pageBreakBefore/>
        <w:widowControl w:val="1"/>
        <w:spacing w:before="0" w:after="225" w:line="360" w:lineRule="auto"/>
        <w:rPr>
          <w:rFonts w:ascii="Arial" w:cs="Arial" w:eastAsia="Arial" w:hAnsi="Arial"/>
          <w:b w:val="1"/>
          <w:bCs w:val="1"/>
          <w:i w:val="0"/>
          <w:iCs w:val="0"/>
          <w:u w:val="none"/>
          <w:sz w:val="28"/>
          <w:szCs w:val="28"/>
        </w:rPr>
      </w:pPr>
      <w:r>
        <w:rPr>
          <w:rFonts w:ascii="Arial" w:cs="Arial" w:eastAsia="Arial" w:hAnsi="Arial"/>
          <w:b w:val="1"/>
          <w:bCs w:val="1"/>
          <w:i w:val="0"/>
          <w:iCs w:val="0"/>
          <w:u w:val="none"/>
          <w:sz w:val="28"/>
          <w:szCs w:val="28"/>
        </w:rPr>
        <w:t xml:space="preserve">5. Procedimientos de operación</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5.1 Registro de una cuenta</w:t>
      </w:r>
    </w:p>
    <w:p>
      <w:pPr>
        <w:widowControl w:val="1"/>
        <w:numPr>
          <w:ilvl w:val="0"/>
          <w:numId w:val="3"/>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Inicie la aplicación de escritorio y sitúe el cursor en la pestaña «Crear cuenta» de la pantalla de acceso.</w:t>
      </w:r>
    </w:p>
    <w:p>
      <w:pPr>
        <w:widowControl w:val="1"/>
        <w:numPr>
          <w:ilvl w:val="0"/>
          <w:numId w:val="3"/>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Escriba el nombre de usuario, que debe tener entre 3 y 32 caracteres y solo puede contener letras, dígitos y guiones bajos.</w:t>
      </w:r>
    </w:p>
    <w:p>
      <w:pPr>
        <w:widowControl w:val="1"/>
        <w:numPr>
          <w:ilvl w:val="0"/>
          <w:numId w:val="3"/>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Escriba el correo electrónico, que el sistema validará automáticamente.</w:t>
      </w:r>
    </w:p>
    <w:p>
      <w:pPr>
        <w:widowControl w:val="1"/>
        <w:numPr>
          <w:ilvl w:val="0"/>
          <w:numId w:val="3"/>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Escriba la contraseña, con un mínimo de 8 caracteres.</w:t>
      </w:r>
    </w:p>
    <w:p>
      <w:pPr>
        <w:widowControl w:val="1"/>
        <w:numPr>
          <w:ilvl w:val="0"/>
          <w:numId w:val="3"/>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Pulse el botón «Crear cuenta». Si la cuenta es válida, la aplicación inicia la sesión de forma automática y accede al panel principal.</w:t>
      </w:r>
    </w:p>
    <w:p>
      <w:pPr>
        <w:widowControl w:val="1"/>
        <w:pBdr>
          <w:top w:val="single" w:sz="6" w:space="4" w:color="bdc3c7"/>
          <w:left w:val="single" w:sz="6" w:space="4" w:color="bdc3c7"/>
          <w:bottom w:val="single" w:sz="6" w:space="4" w:color="bdc3c7"/>
          <w:right w:val="single" w:sz="6" w:space="4" w:color="bdc3c7"/>
        </w:pBdr>
        <w:shd w:val="clear" w:fill="eef3f8"/>
        <w:spacing w:before="120" w:after="240" w:line="300" w:lineRule="auto"/>
        <w:jc w:val="both"/>
        <w:rPr>
          <w:rFonts w:ascii="Arial" w:cs="Arial" w:eastAsia="Arial" w:hAnsi="Arial"/>
          <w:b w:val="0"/>
          <w:bCs w:val="0"/>
          <w:i w:val="0"/>
          <w:iCs w:val="0"/>
          <w:u w:val="none"/>
          <w:sz w:val="22"/>
          <w:szCs w:val="22"/>
        </w:rPr>
      </w:pPr>
      <w:r>
        <w:rPr>
          <w:rFonts w:ascii="Arial" w:cs="Arial" w:eastAsia="Arial" w:hAnsi="Arial"/>
          <w:b w:val="1"/>
          <w:bCs w:val="1"/>
          <w:i w:val="0"/>
          <w:iCs w:val="0"/>
          <w:u w:val="none"/>
          <w:sz w:val="22"/>
          <w:szCs w:val="22"/>
        </w:rPr>
        <w:t xml:space="preserve">Nota: </w:t>
      </w:r>
      <w:r>
        <w:rPr>
          <w:rFonts w:ascii="Arial" w:cs="Arial" w:eastAsia="Arial" w:hAnsi="Arial"/>
          <w:b w:val="0"/>
          <w:bCs w:val="0"/>
          <w:i w:val="0"/>
          <w:iCs w:val="0"/>
          <w:u w:val="none"/>
          <w:sz w:val="22"/>
          <w:szCs w:val="22"/>
        </w:rPr>
        <w:t xml:space="preserve">Si el correo o el nombre de usuario ya están registrados, el sistema responde «El usuario o email ya existe» y el registro no se efectúa.</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5.2 Inicio de sesión</w:t>
      </w:r>
    </w:p>
    <w:p>
      <w:pPr>
        <w:widowControl w:val="1"/>
        <w:numPr>
          <w:ilvl w:val="0"/>
          <w:numId w:val="3"/>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Sitúe el cursor en la pestaña «Iniciar sesión».</w:t>
      </w:r>
    </w:p>
    <w:p>
      <w:pPr>
        <w:widowControl w:val="1"/>
        <w:numPr>
          <w:ilvl w:val="0"/>
          <w:numId w:val="3"/>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Escriba su nombre de usuario o su correo electrónico en el campo «Usuario o email».</w:t>
      </w:r>
    </w:p>
    <w:p>
      <w:pPr>
        <w:widowControl w:val="1"/>
        <w:numPr>
          <w:ilvl w:val="0"/>
          <w:numId w:val="3"/>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Escriba la contraseña.</w:t>
      </w:r>
    </w:p>
    <w:p>
      <w:pPr>
        <w:widowControl w:val="1"/>
        <w:numPr>
          <w:ilvl w:val="0"/>
          <w:numId w:val="3"/>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Pulse el botón «Ingresar». El sistema emite un token JWT con una vigencia de 12 horas y accede al panel principal.</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5.3 Creación de una mina</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En el flujo de la aplicación, la mina se crea de forma automática al registrar una nueva exploración; no existe una pantalla independiente de alta de minas. Para crear una mina de forma aislada, se puede invocar directamente el endpoint correspondiente, que genera una semilla aleatoria si no se indica ninguna:</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Creación directa de una mina mediante la API.</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curl -X POST http://127.0.0.1:8000/mines \</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-H 'Authorization: Bearer &lt;token&gt;' \</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-H 'Content-Type: application/json' \</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-d '{"name": "Mina de cobre", "difficulty": 2}'</w:t>
      </w:r>
    </w:p>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La semilla generada determina de manera determinista la geometría de los cuatro niveles de galerías. Registrar de forma explícita una semilla permite reproducir exactamente la misma mina en ejecuciones posteriores.</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5.4 Creación de una misión e inicio de la exploración</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La creación de una misión y el arranque de la exploración se realizan en un único flujo, de modo que el operador no necesita dos pasos consecutivos.</w:t>
      </w:r>
    </w:p>
    <w:p>
      <w:pPr>
        <w:widowControl w:val="1"/>
        <w:numPr>
          <w:ilvl w:val="0"/>
          <w:numId w:val="3"/>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Pulse el botón «+ INICIAR NUEVA EXPLORACIÓN» del panel izquierdo.</w:t>
      </w:r>
    </w:p>
    <w:p>
      <w:pPr>
        <w:widowControl w:val="1"/>
        <w:numPr>
          <w:ilvl w:val="0"/>
          <w:numId w:val="3"/>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En el diálogo «Nueva exploración», escriba el nombre de la misión; por ejemplo, «Mina principal - sector 3». Este campo es obligatorio.</w:t>
      </w:r>
    </w:p>
    <w:p>
      <w:pPr>
        <w:widowControl w:val="1"/>
        <w:numPr>
          <w:ilvl w:val="0"/>
          <w:numId w:val="3"/>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Escriba el nombre de la mina; por ejemplo, «Mina de cobre». Este campo también es obligatorio.</w:t>
      </w:r>
    </w:p>
    <w:p>
      <w:pPr>
        <w:widowControl w:val="1"/>
        <w:numPr>
          <w:ilvl w:val="0"/>
          <w:numId w:val="3"/>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Pulse el botón «Crear misión». El sistema crea primero la mina y a continuación la misión.</w:t>
      </w:r>
    </w:p>
    <w:p>
      <w:pPr>
        <w:widowControl w:val="1"/>
        <w:numPr>
          <w:ilvl w:val="0"/>
          <w:numId w:val="3"/>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Al cerrarse el diálogo, la tarjeta de la nueva misión aparece en la lista con la etiqueta «En progreso», ya que el backend dispara la exploración de forma automática.</w:t>
      </w:r>
    </w:p>
    <w:p>
      <w:pPr>
        <w:widowControl w:val="1"/>
        <w:numPr>
          <w:ilvl w:val="0"/>
          <w:numId w:val="3"/>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Observe el indicador del dron: una vez el simulador regenera el mundo con la semilla de la mina, el indicador pasa a «Dron: navegando».</w:t>
      </w:r>
    </w:p>
    <w:p>
      <w:pPr>
        <w:widowControl w:val="1"/>
        <w:pBdr>
          <w:top w:val="single" w:sz="6" w:space="4" w:color="bdc3c7"/>
          <w:left w:val="single" w:sz="6" w:space="4" w:color="bdc3c7"/>
          <w:bottom w:val="single" w:sz="6" w:space="4" w:color="bdc3c7"/>
          <w:right w:val="single" w:sz="6" w:space="4" w:color="bdc3c7"/>
        </w:pBdr>
        <w:shd w:val="clear" w:fill="eef3f8"/>
        <w:spacing w:before="120" w:after="240" w:line="300" w:lineRule="auto"/>
        <w:jc w:val="both"/>
        <w:rPr>
          <w:rFonts w:ascii="Arial" w:cs="Arial" w:eastAsia="Arial" w:hAnsi="Arial"/>
          <w:b w:val="0"/>
          <w:bCs w:val="0"/>
          <w:i w:val="0"/>
          <w:iCs w:val="0"/>
          <w:u w:val="none"/>
          <w:sz w:val="22"/>
          <w:szCs w:val="22"/>
        </w:rPr>
      </w:pPr>
      <w:r>
        <w:rPr>
          <w:rFonts w:ascii="Arial" w:cs="Arial" w:eastAsia="Arial" w:hAnsi="Arial"/>
          <w:b w:val="1"/>
          <w:bCs w:val="1"/>
          <w:i w:val="0"/>
          <w:iCs w:val="0"/>
          <w:u w:val="none"/>
          <w:sz w:val="22"/>
          <w:szCs w:val="22"/>
        </w:rPr>
        <w:t xml:space="preserve">Nota: </w:t>
      </w:r>
      <w:r>
        <w:rPr>
          <w:rFonts w:ascii="Arial" w:cs="Arial" w:eastAsia="Arial" w:hAnsi="Arial"/>
          <w:b w:val="0"/>
          <w:bCs w:val="0"/>
          <w:i w:val="0"/>
          <w:iCs w:val="0"/>
          <w:u w:val="none"/>
          <w:sz w:val="22"/>
          <w:szCs w:val="22"/>
        </w:rPr>
        <w:t xml:space="preserve">Solo puede existir una exploración activa en el sistema, porque el simulador dispone de un único dron. Si se inicia una misión nueva, el backend detiene automáticamente la exploración que estuviera en curso.</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5.5 Pausa, reanudación y finalización</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Tabla 8. Controles de la exploración en caliente.</w:t>
      </w:r>
    </w:p>
    <w:tbl>
      <w:tblPr>
        <w:tblStyle w:val="Table1"/>
        <w:tblW w:w="9360" w:type="dxa"/>
        <w:jc w:val="left"/>
        <w:tblBorders>
          <w:top w:val="single" w:sz="6" w:space="0" w:color="bdc3c7"/>
          <w:left w:val="single" w:sz="6" w:space="0" w:color="bdc3c7"/>
          <w:bottom w:val="single" w:sz="6" w:space="0" w:color="bdc3c7"/>
          <w:right w:val="single" w:sz="6" w:space="0" w:color="bdc3c7"/>
          <w:insideH w:val="single" w:sz="6" w:space="0" w:color="bdc3c7"/>
          <w:insideV w:val="single" w:sz="6" w:space="0" w:color="bdc3c7"/>
        </w:tblBorders>
        <w:tblLayout w:type="fixed"/>
        <w:tblLook w:val="0600"/>
      </w:tblPr>
      <w:tblGrid>
        <w:gridCol w:w="1500"/>
        <w:gridCol w:w="2100"/>
        <w:gridCol w:w="2200"/>
        <w:gridCol w:w="3560"/>
      </w:tblGrid>
      <w:tr>
        <w:trPr>
          <w:cantSplit w:val="0"/>
          <w:tblHeader w:val="1"/>
        </w:trPr>
        <w:tc>
          <w:tcPr>
            <w:tcW w:w="15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Acción</w:t>
            </w:r>
          </w:p>
        </w:tc>
        <w:tc>
          <w:tcPr>
            <w:tcW w:w="21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Botón</w:t>
            </w:r>
          </w:p>
        </w:tc>
        <w:tc>
          <w:tcPr>
            <w:tcW w:w="22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Requisito</w:t>
            </w:r>
          </w:p>
        </w:tc>
        <w:tc>
          <w:tcPr>
            <w:tcW w:w="356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Efecto</w:t>
            </w:r>
          </w:p>
        </w:tc>
      </w:tr>
      <w:tr>
        <w:trPr>
          <w:cantSplit w:val="0"/>
        </w:trPr>
        <w:tc>
          <w:tcPr>
            <w:tcW w:w="15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Pausar</w:t>
            </w:r>
          </w:p>
        </w:tc>
        <w:tc>
          <w:tcPr>
            <w:tcW w:w="21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«Pausar» de la tarjeta</w:t>
            </w:r>
          </w:p>
        </w:tc>
        <w:tc>
          <w:tcPr>
            <w:tcW w:w="22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Estado «En progreso».</w:t>
            </w:r>
          </w:p>
        </w:tc>
        <w:tc>
          <w:tcPr>
            <w:tcW w:w="35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El dron se detiene; el estado y las métricas se consolidan y se guarda el checkpoint.</w:t>
            </w:r>
          </w:p>
        </w:tc>
      </w:tr>
      <w:tr>
        <w:trPr>
          <w:cantSplit w:val="0"/>
        </w:trPr>
        <w:tc>
          <w:tcPr>
            <w:tcW w:w="15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Reanudar</w:t>
            </w:r>
          </w:p>
        </w:tc>
        <w:tc>
          <w:tcPr>
            <w:tcW w:w="21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«Reanudar» de la tarjeta</w:t>
            </w:r>
          </w:p>
        </w:tc>
        <w:tc>
          <w:tcPr>
            <w:tcW w:w="22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Estado «En pausa».</w:t>
            </w:r>
          </w:p>
        </w:tc>
        <w:tc>
          <w:tcPr>
            <w:tcW w:w="35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Se regenera el mundo con la semilla de la mina, se carga el checkpoint y el dron continúa desde la última posición válida.</w:t>
            </w:r>
          </w:p>
        </w:tc>
      </w:tr>
      <w:tr>
        <w:trPr>
          <w:cantSplit w:val="0"/>
        </w:trPr>
        <w:tc>
          <w:tcPr>
            <w:tcW w:w="15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Finalizar</w:t>
            </w:r>
          </w:p>
        </w:tc>
        <w:tc>
          <w:tcPr>
            <w:tcW w:w="21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«Finalizar» de la tarjeta</w:t>
            </w:r>
          </w:p>
        </w:tc>
        <w:tc>
          <w:tcPr>
            <w:tcW w:w="22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Estado «En progreso» o «En pausa».</w:t>
            </w:r>
          </w:p>
        </w:tc>
        <w:tc>
          <w:tcPr>
            <w:tcW w:w="35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La exploración concluye, se marca el estado como «Completada» y se registran las métricas finales.</w:t>
            </w:r>
          </w:p>
        </w:tc>
      </w:tr>
    </w:tbl>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La pausa puede ejecutarse incluso después de que el servidor se haya reiniciado: en tal caso, el backend marca las misiones que quedaron «En progreso» como «En pausa» y las deja listas para ser reanudadas desde el checkpoint persistido en la base de datos.</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5.6 Carga del mapa en el simulador</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El botón «Ver en Minecraft», disponible en las misiones en pausa o completadas, permite cargar el mapa correspondiente en el simulador sin ejecutar la exploración. El backend regenera el mundo si la semilla ha cambiado y teletransporta el dron a la última posición registrada en el checkpoint, o al punto de entrada del primer nivel cuando no existe checkpoint. Esta función es útil para inspeccionar visualmente una estructura ya explorada.</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5.7 Visualización del mapa en tres dimensiones</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El botón «Ver en 3D» de la tarjeta abre el visor tridimensional, que representa los vóxeles como prismas coloreados según su nivel de riesgo y superpone la trayectoria recorrida por el dron.</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Tabla 9. Controles del visor tridimensional.</w:t>
      </w:r>
    </w:p>
    <w:tbl>
      <w:tblPr>
        <w:tblStyle w:val="Table1"/>
        <w:tblW w:w="9360" w:type="dxa"/>
        <w:jc w:val="left"/>
        <w:tblBorders>
          <w:top w:val="single" w:sz="6" w:space="0" w:color="bdc3c7"/>
          <w:left w:val="single" w:sz="6" w:space="0" w:color="bdc3c7"/>
          <w:bottom w:val="single" w:sz="6" w:space="0" w:color="bdc3c7"/>
          <w:right w:val="single" w:sz="6" w:space="0" w:color="bdc3c7"/>
          <w:insideH w:val="single" w:sz="6" w:space="0" w:color="bdc3c7"/>
          <w:insideV w:val="single" w:sz="6" w:space="0" w:color="bdc3c7"/>
        </w:tblBorders>
        <w:tblLayout w:type="fixed"/>
        <w:tblLook w:val="0600"/>
      </w:tblPr>
      <w:tblGrid>
        <w:gridCol w:w="2200"/>
        <w:gridCol w:w="7160"/>
      </w:tblGrid>
      <w:tr>
        <w:trPr>
          <w:cantSplit w:val="0"/>
          <w:tblHeader w:val="1"/>
        </w:trPr>
        <w:tc>
          <w:tcPr>
            <w:tcW w:w="22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Control</w:t>
            </w:r>
          </w:p>
        </w:tc>
        <w:tc>
          <w:tcPr>
            <w:tcW w:w="716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Comportamiento</w:t>
            </w:r>
          </w:p>
        </w:tc>
      </w:tr>
      <w:tr>
        <w:trPr>
          <w:cantSplit w:val="0"/>
        </w:trPr>
        <w:tc>
          <w:tcPr>
            <w:tcW w:w="22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Voxel size</w:t>
            </w:r>
          </w:p>
        </w:tc>
        <w:tc>
          <w:tcPr>
            <w:tcW w:w="71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Control deslizante (0,5 a 1,5) que modifica el tamaño del prisma con que se dibuja cada vóxel.</w:t>
            </w:r>
          </w:p>
        </w:tc>
      </w:tr>
      <w:tr>
        <w:trPr>
          <w:cantSplit w:val="0"/>
        </w:trPr>
        <w:tc>
          <w:tcPr>
            <w:tcW w:w="22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Nivel</w:t>
            </w:r>
          </w:p>
        </w:tc>
        <w:tc>
          <w:tcPr>
            <w:tcW w:w="71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Selector que filtra la representación por banda: «Todos» o los cuatro niveles de la mina.</w:t>
            </w:r>
          </w:p>
        </w:tc>
      </w:tr>
      <w:tr>
        <w:trPr>
          <w:cantSplit w:val="0"/>
        </w:trPr>
        <w:tc>
          <w:tcPr>
            <w:tcW w:w="22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Mostrar grid</w:t>
            </w:r>
          </w:p>
        </w:tc>
        <w:tc>
          <w:tcPr>
            <w:tcW w:w="71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Casilla que muestra u oculta la retícula de referencia del plano base.</w:t>
            </w:r>
          </w:p>
        </w:tc>
      </w:tr>
      <w:tr>
        <w:trPr>
          <w:cantSplit w:val="0"/>
        </w:trPr>
        <w:tc>
          <w:tcPr>
            <w:tcW w:w="22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Ver sin techo</w:t>
            </w:r>
          </w:p>
        </w:tc>
        <w:tc>
          <w:tcPr>
            <w:tcW w:w="71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Alterna entre la vista completa y la vista sin los vóxeles superiores, que permite seguir el camino interno de la galería.</w:t>
            </w:r>
          </w:p>
        </w:tc>
      </w:tr>
      <w:tr>
        <w:trPr>
          <w:cantSplit w:val="0"/>
        </w:trPr>
        <w:tc>
          <w:tcPr>
            <w:tcW w:w="22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Recorrido: on/off</w:t>
            </w:r>
          </w:p>
        </w:tc>
        <w:tc>
          <w:tcPr>
            <w:tcW w:w="71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Muestra u oculta la polilínea con la trayectoria registrada del dron.</w:t>
            </w:r>
          </w:p>
        </w:tc>
      </w:tr>
      <w:tr>
        <w:trPr>
          <w:cantSplit w:val="0"/>
        </w:trPr>
        <w:tc>
          <w:tcPr>
            <w:tcW w:w="22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 Volver</w:t>
            </w:r>
          </w:p>
        </w:tc>
        <w:tc>
          <w:tcPr>
            <w:tcW w:w="71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Cierra el visor y regresa al panel de misiones.</w:t>
            </w:r>
          </w:p>
        </w:tc>
      </w:tr>
    </w:tbl>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Los gestos del ratón son los habituales de un visor de este tipo:</w:t>
      </w:r>
    </w:p>
    <w:p>
      <w:pPr>
        <w:widowControl w:val="1"/>
        <w:numPr>
          <w:ilvl w:val="0"/>
          <w:numId w:val="1"/>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Arrastrar con el botón izquierdo: rotación de la cámara alrededor del centro de la escena.</w:t>
      </w:r>
    </w:p>
    <w:p>
      <w:pPr>
        <w:widowControl w:val="1"/>
        <w:numPr>
          <w:ilvl w:val="0"/>
          <w:numId w:val="1"/>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Rueda del ratón: aproximación y alejamiento.</w:t>
      </w:r>
    </w:p>
    <w:p>
      <w:pPr>
        <w:widowControl w:val="1"/>
        <w:numPr>
          <w:ilvl w:val="0"/>
          <w:numId w:val="1"/>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Clic derecho y arrastre: traslación lateral del punto de vista.</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5.8 Importación de un modelo tridimensional externo</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La aplicación permite inspeccionar modelos tridimensionales que no proceden del sistema, sin que ello afecte a las misiones registradas.</w:t>
      </w:r>
    </w:p>
    <w:p>
      <w:pPr>
        <w:widowControl w:val="1"/>
        <w:numPr>
          <w:ilvl w:val="0"/>
          <w:numId w:val="3"/>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Pulse el botón «⬆ Importar modelo 3D (PLY / OBJ)» del panel izquierdo.</w:t>
      </w:r>
    </w:p>
    <w:p>
      <w:pPr>
        <w:widowControl w:val="1"/>
        <w:numPr>
          <w:ilvl w:val="0"/>
          <w:numId w:val="3"/>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En el diálogo «Importar modelo 3D», navegue por el sistema de archivos mediante el botón «↑ Subir» y los clics sobre las carpetas.</w:t>
      </w:r>
    </w:p>
    <w:p>
      <w:pPr>
        <w:widowControl w:val="1"/>
        <w:numPr>
          <w:ilvl w:val="0"/>
          <w:numId w:val="3"/>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Seleccione el archivo con extensión .ply u .obj; el archivo .mtl asociado es opcional, pero sin él el modelo se visualizará sin materiales.</w:t>
      </w:r>
    </w:p>
    <w:p>
      <w:pPr>
        <w:widowControl w:val="1"/>
        <w:numPr>
          <w:ilvl w:val="0"/>
          <w:numId w:val="3"/>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Pulse «Importar y ver». El modelo se carga en el visor 3D a pantalla completa.</w:t>
      </w:r>
    </w:p>
    <w:p>
      <w:pPr>
        <w:widowControl w:val="1"/>
        <w:numPr>
          <w:ilvl w:val="0"/>
          <w:numId w:val="3"/>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Para volver al panel principal, pulse «← Volver».</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Como alternativa, es posible arrastrar el archivo directamente sobre la ventana de la aplicación: el gestor de archivos de Windows o Linux entrega la ruta y la aplicación carga el modelo de forma inmediata. El formato de archivo admitido se reconoce por la extensión .ply, .obj o .mtl.</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5.9 Exportación de los resultados</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El desplegable «Exportar…» de cada tarjeta ofrece los siguientes artefactos:</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Tabla 10. Formatos de exportación y su contenido.</w:t>
      </w:r>
    </w:p>
    <w:tbl>
      <w:tblPr>
        <w:tblStyle w:val="Table1"/>
        <w:tblW w:w="9360" w:type="dxa"/>
        <w:jc w:val="left"/>
        <w:tblBorders>
          <w:top w:val="single" w:sz="6" w:space="0" w:color="bdc3c7"/>
          <w:left w:val="single" w:sz="6" w:space="0" w:color="bdc3c7"/>
          <w:bottom w:val="single" w:sz="6" w:space="0" w:color="bdc3c7"/>
          <w:right w:val="single" w:sz="6" w:space="0" w:color="bdc3c7"/>
          <w:insideH w:val="single" w:sz="6" w:space="0" w:color="bdc3c7"/>
          <w:insideV w:val="single" w:sz="6" w:space="0" w:color="bdc3c7"/>
        </w:tblBorders>
        <w:tblLayout w:type="fixed"/>
        <w:tblLook w:val="0600"/>
      </w:tblPr>
      <w:tblGrid>
        <w:gridCol w:w="1700"/>
        <w:gridCol w:w="7660"/>
      </w:tblGrid>
      <w:tr>
        <w:trPr>
          <w:cantSplit w:val="0"/>
          <w:tblHeader w:val="1"/>
        </w:trPr>
        <w:tc>
          <w:tcPr>
            <w:tcW w:w="17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Formato</w:t>
            </w:r>
          </w:p>
        </w:tc>
        <w:tc>
          <w:tcPr>
            <w:tcW w:w="766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Contenido</w:t>
            </w:r>
          </w:p>
        </w:tc>
      </w:tr>
      <w:tr>
        <w:trPr>
          <w:cantSplit w:val="0"/>
        </w:trPr>
        <w:tc>
          <w:tcPr>
            <w:tcW w:w="17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CSV</w:t>
            </w:r>
          </w:p>
        </w:tc>
        <w:tc>
          <w:tcPr>
            <w:tcW w:w="76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Tabla de vóxeles con las columnas x, y, z, state, risk, confidence, entropy y step. Resulta apropiado para hojas de cálculo y análisis estadístico.</w:t>
            </w:r>
          </w:p>
        </w:tc>
      </w:tr>
      <w:tr>
        <w:trPr>
          <w:cantSplit w:val="0"/>
        </w:trPr>
        <w:tc>
          <w:tcPr>
            <w:tcW w:w="17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PLY (nube)</w:t>
            </w:r>
          </w:p>
        </w:tc>
        <w:tc>
          <w:tcPr>
            <w:tcW w:w="76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Nube de puntos en formato ASCII con el color de cada punto codificado según su nivel de riesgo.</w:t>
            </w:r>
          </w:p>
        </w:tc>
      </w:tr>
      <w:tr>
        <w:trPr>
          <w:cantSplit w:val="0"/>
        </w:trPr>
        <w:tc>
          <w:tcPr>
            <w:tcW w:w="17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PLY (malla)</w:t>
            </w:r>
          </w:p>
        </w:tc>
        <w:tc>
          <w:tcPr>
            <w:tcW w:w="76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Malla de cubos que representa las paredes de la galería; incluye la declaración de caras del formato PLY.</w:t>
            </w:r>
          </w:p>
        </w:tc>
      </w:tr>
      <w:tr>
        <w:trPr>
          <w:cantSplit w:val="0"/>
        </w:trPr>
        <w:tc>
          <w:tcPr>
            <w:tcW w:w="17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OBJ</w:t>
            </w:r>
          </w:p>
        </w:tc>
        <w:tc>
          <w:tcPr>
            <w:tcW w:w="76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Malla de caras expuestas con su archivo de materiales .mtl hermano, listo para abrirse en un editor 3D.</w:t>
            </w:r>
          </w:p>
        </w:tc>
      </w:tr>
      <w:tr>
        <w:trPr>
          <w:cantSplit w:val="0"/>
        </w:trPr>
        <w:tc>
          <w:tcPr>
            <w:tcW w:w="17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PNG (entropía)</w:t>
            </w:r>
          </w:p>
        </w:tc>
        <w:tc>
          <w:tcPr>
            <w:tcW w:w="76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Mapa de calor cenital de la entropía residual de Shannon.</w:t>
            </w:r>
          </w:p>
        </w:tc>
      </w:tr>
      <w:tr>
        <w:trPr>
          <w:cantSplit w:val="0"/>
        </w:trPr>
        <w:tc>
          <w:tcPr>
            <w:tcW w:w="17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PDF (reporte)</w:t>
            </w:r>
          </w:p>
        </w:tc>
        <w:tc>
          <w:tcPr>
            <w:tcW w:w="76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Informe A4 con los datos de la misión, el mapa de entropía, la evolución por paso y la valoración de la 3D-CNN con su matriz de confusión.</w:t>
            </w:r>
          </w:p>
        </w:tc>
      </w:tr>
    </w:tbl>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Al elegir un formato, la aplicación solicita al backend el artefacto correspondiente y lo guarda en el equipo del usuario, en la carpeta:</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Carpeta de destino de las exportaciones.</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~/Descargas/MineExplorer/mission_&lt;identificador&gt;/</w:t>
      </w:r>
    </w:p>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Cuando la exportación concluye, el sistema muestra un aviso con la ruta exacta del archivo generado. En el caso del formato OBJ, se descarga además el archivo .mtl contiguo para conservar los colores.</w:t>
      </w:r>
    </w:p>
    <w:p>
      <w:pPr>
        <w:widowControl w:val="1"/>
        <w:pBdr>
          <w:top w:val="single" w:sz="6" w:space="4" w:color="bdc3c7"/>
          <w:left w:val="single" w:sz="6" w:space="4" w:color="bdc3c7"/>
          <w:bottom w:val="single" w:sz="6" w:space="4" w:color="bdc3c7"/>
          <w:right w:val="single" w:sz="6" w:space="4" w:color="bdc3c7"/>
        </w:pBdr>
        <w:shd w:val="clear" w:fill="eef3f8"/>
        <w:spacing w:before="120" w:after="240" w:line="300" w:lineRule="auto"/>
        <w:jc w:val="both"/>
        <w:rPr>
          <w:rFonts w:ascii="Arial" w:cs="Arial" w:eastAsia="Arial" w:hAnsi="Arial"/>
          <w:b w:val="0"/>
          <w:bCs w:val="0"/>
          <w:i w:val="0"/>
          <w:iCs w:val="0"/>
          <w:u w:val="none"/>
          <w:sz w:val="22"/>
          <w:szCs w:val="22"/>
        </w:rPr>
      </w:pPr>
      <w:r>
        <w:rPr>
          <w:rFonts w:ascii="Arial" w:cs="Arial" w:eastAsia="Arial" w:hAnsi="Arial"/>
          <w:b w:val="1"/>
          <w:bCs w:val="1"/>
          <w:i w:val="0"/>
          <w:iCs w:val="0"/>
          <w:u w:val="none"/>
          <w:sz w:val="22"/>
          <w:szCs w:val="22"/>
        </w:rPr>
        <w:t xml:space="preserve">Nota: </w:t>
      </w:r>
      <w:r>
        <w:rPr>
          <w:rFonts w:ascii="Arial" w:cs="Arial" w:eastAsia="Arial" w:hAnsi="Arial"/>
          <w:b w:val="0"/>
          <w:bCs w:val="0"/>
          <w:i w:val="0"/>
          <w:iCs w:val="0"/>
          <w:u w:val="none"/>
          <w:sz w:val="22"/>
          <w:szCs w:val="22"/>
        </w:rPr>
        <w:t xml:space="preserve">La exportación requiere que la misión disponga de vóxeles registrados. Si la exploración no ha generado información, el backend responde «La misión no tiene vóxeles que exportar».</w:t>
      </w:r>
    </w:p>
    <w:p>
      <w:pPr>
        <w:pStyle w:val="Heading2"/>
        <w:pageBreakBefore/>
        <w:widowControl w:val="1"/>
        <w:spacing w:before="0" w:after="225" w:line="360" w:lineRule="auto"/>
        <w:rPr>
          <w:rFonts w:ascii="Arial" w:cs="Arial" w:eastAsia="Arial" w:hAnsi="Arial"/>
          <w:b w:val="1"/>
          <w:bCs w:val="1"/>
          <w:i w:val="0"/>
          <w:iCs w:val="0"/>
          <w:u w:val="none"/>
          <w:sz w:val="28"/>
          <w:szCs w:val="28"/>
        </w:rPr>
      </w:pPr>
      <w:r>
        <w:rPr>
          <w:rFonts w:ascii="Arial" w:cs="Arial" w:eastAsia="Arial" w:hAnsi="Arial"/>
          <w:b w:val="1"/>
          <w:bCs w:val="1"/>
          <w:i w:val="0"/>
          <w:iCs w:val="0"/>
          <w:u w:val="none"/>
          <w:sz w:val="28"/>
          <w:szCs w:val="28"/>
        </w:rPr>
        <w:t xml:space="preserve">6. Interpretación de métricas y resultados</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Tabla 11. Métricas mostradas en la tarjeta de cada misión.</w:t>
      </w:r>
    </w:p>
    <w:tbl>
      <w:tblPr>
        <w:tblStyle w:val="Table1"/>
        <w:tblW w:w="9360" w:type="dxa"/>
        <w:jc w:val="left"/>
        <w:tblBorders>
          <w:top w:val="single" w:sz="6" w:space="0" w:color="bdc3c7"/>
          <w:left w:val="single" w:sz="6" w:space="0" w:color="bdc3c7"/>
          <w:bottom w:val="single" w:sz="6" w:space="0" w:color="bdc3c7"/>
          <w:right w:val="single" w:sz="6" w:space="0" w:color="bdc3c7"/>
          <w:insideH w:val="single" w:sz="6" w:space="0" w:color="bdc3c7"/>
          <w:insideV w:val="single" w:sz="6" w:space="0" w:color="bdc3c7"/>
        </w:tblBorders>
        <w:tblLayout w:type="fixed"/>
        <w:tblLook w:val="0600"/>
      </w:tblPr>
      <w:tblGrid>
        <w:gridCol w:w="2100"/>
        <w:gridCol w:w="3600"/>
        <w:gridCol w:w="3660"/>
      </w:tblGrid>
      <w:tr>
        <w:trPr>
          <w:cantSplit w:val="0"/>
          <w:tblHeader w:val="1"/>
        </w:trPr>
        <w:tc>
          <w:tcPr>
            <w:tcW w:w="21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Métrica</w:t>
            </w:r>
          </w:p>
        </w:tc>
        <w:tc>
          <w:tcPr>
            <w:tcW w:w="36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Significado</w:t>
            </w:r>
          </w:p>
        </w:tc>
        <w:tc>
          <w:tcPr>
            <w:tcW w:w="366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Cálculo</w:t>
            </w:r>
          </w:p>
        </w:tc>
      </w:tr>
      <w:tr>
        <w:trPr>
          <w:cantSplit w:val="0"/>
        </w:trPr>
        <w:tc>
          <w:tcPr>
            <w:tcW w:w="21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Cob. (cobertura)</w:t>
            </w:r>
          </w:p>
        </w:tc>
        <w:tc>
          <w:tcPr>
            <w:tcW w:w="36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Porcentaje del espacio de aire conocido que ha sido recorrido.</w:t>
            </w:r>
          </w:p>
        </w:tc>
        <w:tc>
          <w:tcPr>
            <w:tcW w:w="36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100 × |celdas recorridas| / |aire conocido|.</w:t>
            </w:r>
          </w:p>
        </w:tc>
      </w:tr>
      <w:tr>
        <w:trPr>
          <w:cantSplit w:val="0"/>
        </w:trPr>
        <w:tc>
          <w:tcPr>
            <w:tcW w:w="21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Riesgo (detecciones)</w:t>
            </w:r>
          </w:p>
        </w:tc>
        <w:tc>
          <w:tcPr>
            <w:tcW w:w="36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Número de vóxeles con riesgo distinto de cero.</w:t>
            </w:r>
          </w:p>
        </w:tc>
        <w:tc>
          <w:tcPr>
            <w:tcW w:w="36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Recuento de vóxeles cuyo campo risk_label es mayor que 0.</w:t>
            </w:r>
          </w:p>
        </w:tc>
      </w:tr>
      <w:tr>
        <w:trPr>
          <w:cantSplit w:val="0"/>
        </w:trPr>
        <w:tc>
          <w:tcPr>
            <w:tcW w:w="21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Entropía</w:t>
            </w:r>
          </w:p>
        </w:tc>
        <w:tc>
          <w:tcPr>
            <w:tcW w:w="36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Entropía residual media de los vóxeles registrados.</w:t>
            </w:r>
          </w:p>
        </w:tc>
        <w:tc>
          <w:tcPr>
            <w:tcW w:w="36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Promedio del campo entropy_value, redondeado a cuatro decimales.</w:t>
            </w:r>
          </w:p>
        </w:tc>
      </w:tr>
      <w:tr>
        <w:trPr>
          <w:cantSplit w:val="0"/>
        </w:trPr>
        <w:tc>
          <w:tcPr>
            <w:tcW w:w="21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Confianza</w:t>
            </w:r>
          </w:p>
        </w:tc>
        <w:tc>
          <w:tcPr>
            <w:tcW w:w="36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Confianza de la 3D-CNN respecto de la clase asignada al vóxel.</w:t>
            </w:r>
          </w:p>
        </w:tc>
        <w:tc>
          <w:tcPr>
            <w:tcW w:w="36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Máximo de la distribución softmax de la red, en el intervalo de 0 a 1.</w:t>
            </w:r>
          </w:p>
        </w:tc>
      </w:tr>
    </w:tbl>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La interpretación práctica es la siguiente: una cobertura alta con entropía baja indica que el entorno ha sido extensamente recorrido y comprendido; una entropía elevada en una zona con baja cobertura señala que dicha región permanece poco explorada; y un número de detecciones de riesgo alto frente a una cobertura comparable señala la presencia de material inestable en la zona recorrida.</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6.1 Clases de riesgo y colores</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Tabla 12. Clases de riesgo identificadas por la 3D-CNN.</w:t>
      </w:r>
    </w:p>
    <w:tbl>
      <w:tblPr>
        <w:tblStyle w:val="Table1"/>
        <w:tblW w:w="9360" w:type="dxa"/>
        <w:jc w:val="left"/>
        <w:tblBorders>
          <w:top w:val="single" w:sz="6" w:space="0" w:color="bdc3c7"/>
          <w:left w:val="single" w:sz="6" w:space="0" w:color="bdc3c7"/>
          <w:bottom w:val="single" w:sz="6" w:space="0" w:color="bdc3c7"/>
          <w:right w:val="single" w:sz="6" w:space="0" w:color="bdc3c7"/>
          <w:insideH w:val="single" w:sz="6" w:space="0" w:color="bdc3c7"/>
          <w:insideV w:val="single" w:sz="6" w:space="0" w:color="bdc3c7"/>
        </w:tblBorders>
        <w:tblLayout w:type="fixed"/>
        <w:tblLook w:val="0600"/>
      </w:tblPr>
      <w:tblGrid>
        <w:gridCol w:w="1500"/>
        <w:gridCol w:w="3300"/>
        <w:gridCol w:w="4560"/>
      </w:tblGrid>
      <w:tr>
        <w:trPr>
          <w:cantSplit w:val="0"/>
          <w:tblHeader w:val="1"/>
        </w:trPr>
        <w:tc>
          <w:tcPr>
            <w:tcW w:w="15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Clase</w:t>
            </w:r>
          </w:p>
        </w:tc>
        <w:tc>
          <w:tcPr>
            <w:tcW w:w="33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Material de referencia</w:t>
            </w:r>
          </w:p>
        </w:tc>
        <w:tc>
          <w:tcPr>
            <w:tcW w:w="456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Interpretación operativa</w:t>
            </w:r>
          </w:p>
        </w:tc>
      </w:tr>
      <w:tr>
        <w:trPr>
          <w:cantSplit w:val="0"/>
        </w:trPr>
        <w:tc>
          <w:tcPr>
            <w:tcW w:w="15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seguro</w:t>
            </w:r>
          </w:p>
        </w:tc>
        <w:tc>
          <w:tcPr>
            <w:tcW w:w="33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Piedra, roca profunda y bloques de piedra sin degradación.</w:t>
            </w:r>
          </w:p>
        </w:tc>
        <w:tc>
          <w:tcPr>
            <w:tcW w:w="45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Terreno estable; no requiere intervención.</w:t>
            </w:r>
          </w:p>
        </w:tc>
      </w:tr>
      <w:tr>
        <w:trPr>
          <w:cantSplit w:val="0"/>
        </w:trPr>
        <w:tc>
          <w:tcPr>
            <w:tcW w:w="15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grieta</w:t>
            </w:r>
          </w:p>
        </w:tc>
        <w:tc>
          <w:tcPr>
            <w:tcW w:w="33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Ladrillo de piedra agrietado.</w:t>
            </w:r>
          </w:p>
        </w:tc>
        <w:tc>
          <w:tcPr>
            <w:tcW w:w="45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Fisuración del macizo; requiere vigilancia.</w:t>
            </w:r>
          </w:p>
        </w:tc>
      </w:tr>
      <w:tr>
        <w:trPr>
          <w:cantSplit w:val="0"/>
        </w:trPr>
        <w:tc>
          <w:tcPr>
            <w:tcW w:w="15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escombro</w:t>
            </w:r>
          </w:p>
        </w:tc>
        <w:tc>
          <w:tcPr>
            <w:tcW w:w="33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Grava, arena y tierra suelta.</w:t>
            </w:r>
          </w:p>
        </w:tc>
        <w:tc>
          <w:tcPr>
            <w:tcW w:w="45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Material granular acumulado; riesgo de caída de bloques.</w:t>
            </w:r>
          </w:p>
        </w:tc>
      </w:tr>
      <w:tr>
        <w:trPr>
          <w:cantSplit w:val="0"/>
        </w:trPr>
        <w:tc>
          <w:tcPr>
            <w:tcW w:w="15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derrubio</w:t>
            </w:r>
          </w:p>
        </w:tc>
        <w:tc>
          <w:tcPr>
            <w:tcW w:w="33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Andesita, diorita, granito, deepslate de cueva y toba.</w:t>
            </w:r>
          </w:p>
        </w:tc>
        <w:tc>
          <w:tcPr>
            <w:tcW w:w="45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Obstrucción o derrumbe; limita el paso del dron.</w:t>
            </w:r>
          </w:p>
        </w:tc>
      </w:tr>
      <w:tr>
        <w:trPr>
          <w:cantSplit w:val="0"/>
        </w:trPr>
        <w:tc>
          <w:tcPr>
            <w:tcW w:w="15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lava/magma</w:t>
            </w:r>
          </w:p>
        </w:tc>
        <w:tc>
          <w:tcPr>
            <w:tcW w:w="33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Bloque de magma y lava.</w:t>
            </w:r>
          </w:p>
        </w:tc>
        <w:tc>
          <w:tcPr>
            <w:tcW w:w="45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Riesgo máximo; el dron no puede atravesarlo.</w:t>
            </w:r>
          </w:p>
        </w:tc>
      </w:tr>
    </w:tbl>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p>
      <w:pPr>
        <w:pStyle w:val="Heading2"/>
        <w:pageBreakBefore/>
        <w:widowControl w:val="1"/>
        <w:spacing w:before="0" w:after="225" w:line="360" w:lineRule="auto"/>
        <w:rPr>
          <w:rFonts w:ascii="Arial" w:cs="Arial" w:eastAsia="Arial" w:hAnsi="Arial"/>
          <w:b w:val="1"/>
          <w:bCs w:val="1"/>
          <w:i w:val="0"/>
          <w:iCs w:val="0"/>
          <w:u w:val="none"/>
          <w:sz w:val="28"/>
          <w:szCs w:val="28"/>
        </w:rPr>
      </w:pPr>
      <w:r>
        <w:rPr>
          <w:rFonts w:ascii="Arial" w:cs="Arial" w:eastAsia="Arial" w:hAnsi="Arial"/>
          <w:b w:val="1"/>
          <w:bCs w:val="1"/>
          <w:i w:val="0"/>
          <w:iCs w:val="0"/>
          <w:u w:val="none"/>
          <w:sz w:val="28"/>
          <w:szCs w:val="28"/>
        </w:rPr>
        <w:t xml:space="preserve">7. Operación avanzada</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7.1 Consola de la API</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El backend expone una documentación interactiva en http://127.0.0.1:8000/docs, generada automáticamente por FastAPI. Esta interfaz permite ejecutar cualquier endpoint desde el navegador, introduciendo el token JWT en el campo de autorización. Resulta especialmente útil para consultar el mapa volumétrico en bruto o para regenerar los artefactos de exportación con parámetros concretos.</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7.2 Control directo del simulador</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Los endpoints del prefijo /mc permiten pilotar el dron de forma manual, útil para depurar una exploración:</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Tabla 13. Endpoints de control del simulador.</w:t>
      </w:r>
    </w:p>
    <w:tbl>
      <w:tblPr>
        <w:tblStyle w:val="Table1"/>
        <w:tblW w:w="9360" w:type="dxa"/>
        <w:jc w:val="left"/>
        <w:tblBorders>
          <w:top w:val="single" w:sz="6" w:space="0" w:color="bdc3c7"/>
          <w:left w:val="single" w:sz="6" w:space="0" w:color="bdc3c7"/>
          <w:bottom w:val="single" w:sz="6" w:space="0" w:color="bdc3c7"/>
          <w:right w:val="single" w:sz="6" w:space="0" w:color="bdc3c7"/>
          <w:insideH w:val="single" w:sz="6" w:space="0" w:color="bdc3c7"/>
          <w:insideV w:val="single" w:sz="6" w:space="0" w:color="bdc3c7"/>
        </w:tblBorders>
        <w:tblLayout w:type="fixed"/>
        <w:tblLook w:val="0600"/>
      </w:tblPr>
      <w:tblGrid>
        <w:gridCol w:w="2600"/>
        <w:gridCol w:w="6760"/>
      </w:tblGrid>
      <w:tr>
        <w:trPr>
          <w:cantSplit w:val="0"/>
          <w:tblHeader w:val="1"/>
        </w:trPr>
        <w:tc>
          <w:tcPr>
            <w:tcW w:w="26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Endpoint</w:t>
            </w:r>
          </w:p>
        </w:tc>
        <w:tc>
          <w:tcPr>
            <w:tcW w:w="676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Función</w:t>
            </w:r>
          </w:p>
        </w:tc>
      </w:tr>
      <w:tr>
        <w:trPr>
          <w:cantSplit w:val="0"/>
        </w:trPr>
        <w:tc>
          <w:tcPr>
            <w:tcW w:w="26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GET /mc/status</w:t>
            </w:r>
          </w:p>
        </w:tc>
        <w:tc>
          <w:tcPr>
            <w:tcW w:w="67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Devuelve el mundo, la semilla, los niveles definidos, la posición del dron y el estado de movimiento.</w:t>
            </w:r>
          </w:p>
        </w:tc>
      </w:tr>
      <w:tr>
        <w:trPr>
          <w:cantSplit w:val="0"/>
        </w:trPr>
        <w:tc>
          <w:tcPr>
            <w:tcW w:w="26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GET /mc/position</w:t>
            </w:r>
          </w:p>
        </w:tc>
        <w:tc>
          <w:tcPr>
            <w:tcW w:w="67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Devuelve la posición y la orientación del dron.</w:t>
            </w:r>
          </w:p>
        </w:tc>
      </w:tr>
      <w:tr>
        <w:trPr>
          <w:cantSplit w:val="0"/>
        </w:trPr>
        <w:tc>
          <w:tcPr>
            <w:tcW w:w="26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POST /mc/move</w:t>
            </w:r>
          </w:p>
        </w:tc>
        <w:tc>
          <w:tcPr>
            <w:tcW w:w="67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Ordena al dron desplazarse a una posición concreta.</w:t>
            </w:r>
          </w:p>
        </w:tc>
      </w:tr>
      <w:tr>
        <w:trPr>
          <w:cantSplit w:val="0"/>
        </w:trPr>
        <w:tc>
          <w:tcPr>
            <w:tcW w:w="26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POST /mc/teleport</w:t>
            </w:r>
          </w:p>
        </w:tc>
        <w:tc>
          <w:tcPr>
            <w:tcW w:w="67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Teletransporta el dron a una posición.</w:t>
            </w:r>
          </w:p>
        </w:tc>
      </w:tr>
      <w:tr>
        <w:trPr>
          <w:cantSplit w:val="0"/>
        </w:trPr>
        <w:tc>
          <w:tcPr>
            <w:tcW w:w="26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POST /mc/raycast</w:t>
            </w:r>
          </w:p>
        </w:tc>
        <w:tc>
          <w:tcPr>
            <w:tcW w:w="67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Ejecuta un trazado de rayos LiDAR desde un origen dado.</w:t>
            </w:r>
          </w:p>
        </w:tc>
      </w:tr>
      <w:tr>
        <w:trPr>
          <w:cantSplit w:val="0"/>
        </w:trPr>
        <w:tc>
          <w:tcPr>
            <w:tcW w:w="26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POST /mc/blocks</w:t>
            </w:r>
          </w:p>
        </w:tc>
        <w:tc>
          <w:tcPr>
            <w:tcW w:w="67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Devuelve los bloques del cubo circundante a un punto.</w:t>
            </w:r>
          </w:p>
        </w:tc>
      </w:tr>
      <w:tr>
        <w:trPr>
          <w:cantSplit w:val="0"/>
        </w:trPr>
        <w:tc>
          <w:tcPr>
            <w:tcW w:w="26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POST /mc/ground_truth</w:t>
            </w:r>
          </w:p>
        </w:tc>
        <w:tc>
          <w:tcPr>
            <w:tcW w:w="67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Igual que el anterior, pero añade la etiqueta de riesgo real de cada bloque.</w:t>
            </w:r>
          </w:p>
        </w:tc>
      </w:tr>
      <w:tr>
        <w:trPr>
          <w:cantSplit w:val="0"/>
        </w:trPr>
        <w:tc>
          <w:tcPr>
            <w:tcW w:w="26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POST /mc/start</w:t>
            </w:r>
          </w:p>
        </w:tc>
        <w:tc>
          <w:tcPr>
            <w:tcW w:w="67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Arranca el servidor de Minecraft si no está en ejecución.</w:t>
            </w:r>
          </w:p>
        </w:tc>
      </w:tr>
    </w:tbl>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7.3 Comando de administración del plugin</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Dentro del mundo de Minecraft, el comando /mineexp permite al administrador del servidor gestionar el dron y regenerar la mina:</w:t>
      </w:r>
    </w:p>
    <w:p>
      <w:pPr>
        <w:widowControl w:val="1"/>
        <w:numPr>
          <w:ilvl w:val="0"/>
          <w:numId w:val="1"/>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/mineexp spawn: vuelve a desplegar el dron en el punto de inicio.</w:t>
      </w:r>
    </w:p>
    <w:p>
      <w:pPr>
        <w:widowControl w:val="1"/>
        <w:numPr>
          <w:ilvl w:val="0"/>
          <w:numId w:val="1"/>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/mineexp pos: muestra la posición actual del dron.</w:t>
      </w:r>
    </w:p>
    <w:p>
      <w:pPr>
        <w:widowControl w:val="1"/>
        <w:numPr>
          <w:ilvl w:val="0"/>
          <w:numId w:val="1"/>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/mineexp regen [semilla]: regenera las galerías, opcionalmente con una semilla nueva.</w:t>
      </w:r>
    </w:p>
    <w:p>
      <w:pPr>
        <w:widowControl w:val="1"/>
        <w:numPr>
          <w:ilvl w:val="0"/>
          <w:numId w:val="1"/>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/mineexp world: teletransporta al jugador al punto de entrada del nivel 1.</w:t>
      </w:r>
    </w:p>
    <w:p>
      <w:pPr>
        <w:pStyle w:val="Heading2"/>
        <w:pageBreakBefore/>
        <w:widowControl w:val="1"/>
        <w:spacing w:before="0" w:after="225" w:line="360" w:lineRule="auto"/>
        <w:rPr>
          <w:rFonts w:ascii="Arial" w:cs="Arial" w:eastAsia="Arial" w:hAnsi="Arial"/>
          <w:b w:val="1"/>
          <w:bCs w:val="1"/>
          <w:i w:val="0"/>
          <w:iCs w:val="0"/>
          <w:u w:val="none"/>
          <w:sz w:val="28"/>
          <w:szCs w:val="28"/>
        </w:rPr>
      </w:pPr>
      <w:r>
        <w:rPr>
          <w:rFonts w:ascii="Arial" w:cs="Arial" w:eastAsia="Arial" w:hAnsi="Arial"/>
          <w:b w:val="1"/>
          <w:bCs w:val="1"/>
          <w:i w:val="0"/>
          <w:iCs w:val="0"/>
          <w:u w:val="none"/>
          <w:sz w:val="28"/>
          <w:szCs w:val="28"/>
        </w:rPr>
        <w:t xml:space="preserve">8. Solución de problemas</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Tabla 14. Errores frecuentes y su solución.</w:t>
      </w:r>
    </w:p>
    <w:tbl>
      <w:tblPr>
        <w:tblStyle w:val="Table1"/>
        <w:tblW w:w="9360" w:type="dxa"/>
        <w:jc w:val="left"/>
        <w:tblBorders>
          <w:top w:val="single" w:sz="6" w:space="0" w:color="bdc3c7"/>
          <w:left w:val="single" w:sz="6" w:space="0" w:color="bdc3c7"/>
          <w:bottom w:val="single" w:sz="6" w:space="0" w:color="bdc3c7"/>
          <w:right w:val="single" w:sz="6" w:space="0" w:color="bdc3c7"/>
          <w:insideH w:val="single" w:sz="6" w:space="0" w:color="bdc3c7"/>
          <w:insideV w:val="single" w:sz="6" w:space="0" w:color="bdc3c7"/>
        </w:tblBorders>
        <w:tblLayout w:type="fixed"/>
        <w:tblLook w:val="0600"/>
      </w:tblPr>
      <w:tblGrid>
        <w:gridCol w:w="2400"/>
        <w:gridCol w:w="2900"/>
        <w:gridCol w:w="4060"/>
      </w:tblGrid>
      <w:tr>
        <w:trPr>
          <w:cantSplit w:val="0"/>
          <w:tblHeader w:val="1"/>
        </w:trPr>
        <w:tc>
          <w:tcPr>
            <w:tcW w:w="24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Síntoma</w:t>
            </w:r>
          </w:p>
        </w:tc>
        <w:tc>
          <w:tcPr>
            <w:tcW w:w="29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Causa probable</w:t>
            </w:r>
          </w:p>
        </w:tc>
        <w:tc>
          <w:tcPr>
            <w:tcW w:w="406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Solución</w:t>
            </w:r>
          </w:p>
        </w:tc>
      </w:tr>
      <w:tr>
        <w:trPr>
          <w:cantSplit w:val="0"/>
        </w:trPr>
        <w:tc>
          <w:tcPr>
            <w:tcW w:w="24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«No se pudo conectar con el backend»</w:t>
            </w:r>
          </w:p>
        </w:tc>
        <w:tc>
          <w:tcPr>
            <w:tcW w:w="29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El backend no está en ejecución o el puerto 8000 está ocupado por otro proceso.</w:t>
            </w:r>
          </w:p>
        </w:tc>
        <w:tc>
          <w:tcPr>
            <w:tcW w:w="40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Arrancar el backend con «bash scripts/start_all.sh» y verificar la respuesta de http://127.0.0.1:8000/health.</w:t>
            </w:r>
          </w:p>
        </w:tc>
      </w:tr>
      <w:tr>
        <w:trPr>
          <w:cantSplit w:val="0"/>
        </w:trPr>
        <w:tc>
          <w:tcPr>
            <w:tcW w:w="24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«Dron: sin conexión»</w:t>
            </w:r>
          </w:p>
        </w:tc>
        <w:tc>
          <w:tcPr>
            <w:tcW w:w="29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El servidor Paper no está en ejecución, el plugin no está instalado o el puerto 8765 está bloqueado.</w:t>
            </w:r>
          </w:p>
        </w:tc>
        <w:tc>
          <w:tcPr>
            <w:tcW w:w="40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Verificar que server/plugins/MineExplorer.jar existe y que el servidor arrancó sin errores en /tmp/mc_server.log.</w:t>
            </w:r>
          </w:p>
        </w:tc>
      </w:tr>
      <w:tr>
        <w:trPr>
          <w:cantSplit w:val="0"/>
        </w:trPr>
        <w:tc>
          <w:tcPr>
            <w:tcW w:w="24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«La misión no se puede iniciar»</w:t>
            </w:r>
          </w:p>
        </w:tc>
        <w:tc>
          <w:tcPr>
            <w:tcW w:w="29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La misión no se encuentra en un estado válido para arrancar.</w:t>
            </w:r>
          </w:p>
        </w:tc>
        <w:tc>
          <w:tcPr>
            <w:tcW w:w="40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Consultar la etiqueta de estado de la tarjeta; solo las misiones pendientes, en pausa o interrumpidas pueden arrancarse.</w:t>
            </w:r>
          </w:p>
        </w:tc>
      </w:tr>
      <w:tr>
        <w:trPr>
          <w:cantSplit w:val="0"/>
        </w:trPr>
        <w:tc>
          <w:tcPr>
            <w:tcW w:w="24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«La misión no tiene vóxeles que exportar»</w:t>
            </w:r>
          </w:p>
        </w:tc>
        <w:tc>
          <w:tcPr>
            <w:tcW w:w="29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La exploración no ha registrado información todavía.</w:t>
            </w:r>
          </w:p>
        </w:tc>
        <w:tc>
          <w:tcPr>
            <w:tcW w:w="40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Esperar a que el dron recorra la galería o finalizar la exploración antes de exportar.</w:t>
            </w:r>
          </w:p>
        </w:tc>
      </w:tr>
      <w:tr>
        <w:trPr>
          <w:cantSplit w:val="0"/>
        </w:trPr>
        <w:tc>
          <w:tcPr>
            <w:tcW w:w="24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«Formato inválido»</w:t>
            </w:r>
          </w:p>
        </w:tc>
        <w:tc>
          <w:tcPr>
            <w:tcW w:w="29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Se solicitó un formato de exportación no contemplado.</w:t>
            </w:r>
          </w:p>
        </w:tc>
        <w:tc>
          <w:tcPr>
            <w:tcW w:w="40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Utilizar uno de los formatos del desplegable: csv, ply, obj, mtl, png o pdf.</w:t>
            </w:r>
          </w:p>
        </w:tc>
      </w:tr>
      <w:tr>
        <w:trPr>
          <w:cantSplit w:val="0"/>
        </w:trPr>
        <w:tc>
          <w:tcPr>
            <w:tcW w:w="24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«Tu sesión expiró»</w:t>
            </w:r>
          </w:p>
        </w:tc>
        <w:tc>
          <w:tcPr>
            <w:tcW w:w="29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El token JWT superó las 12 horas de vigencia.</w:t>
            </w:r>
          </w:p>
        </w:tc>
        <w:tc>
          <w:tcPr>
            <w:tcW w:w="40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Iniciar sesión nuevamente; el sistema guarda la credencial solo en el equipo local.</w:t>
            </w:r>
          </w:p>
        </w:tc>
      </w:tr>
      <w:tr>
        <w:trPr>
          <w:cantSplit w:val="0"/>
        </w:trPr>
        <w:tc>
          <w:tcPr>
            <w:tcW w:w="24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Error 409 al iniciar una misión</w:t>
            </w:r>
          </w:p>
        </w:tc>
        <w:tc>
          <w:tcPr>
            <w:tcW w:w="29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Ya existe una exploración en curso.</w:t>
            </w:r>
          </w:p>
        </w:tc>
        <w:tc>
          <w:tcPr>
            <w:tcW w:w="40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Finalizar o pausar la exploración activa antes de iniciar la nueva.</w:t>
            </w:r>
          </w:p>
        </w:tc>
      </w:tr>
      <w:tr>
        <w:trPr>
          <w:cantSplit w:val="0"/>
        </w:trPr>
        <w:tc>
          <w:tcPr>
            <w:tcW w:w="24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La aplicación se abre con la lista vacía</w:t>
            </w:r>
          </w:p>
        </w:tc>
        <w:tc>
          <w:tcPr>
            <w:tcW w:w="29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El usuario no ha iniciado sesión o no dispone de misiones propias.</w:t>
            </w:r>
          </w:p>
        </w:tc>
        <w:tc>
          <w:tcPr>
            <w:tcW w:w="40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Iniciar sesión y pulsar «↻ Listar mapas» para forzar la consulta.</w:t>
            </w:r>
          </w:p>
        </w:tc>
      </w:tr>
    </w:tbl>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p>
      <w:pPr>
        <w:pStyle w:val="Heading2"/>
        <w:pageBreakBefore/>
        <w:widowControl w:val="1"/>
        <w:spacing w:before="0" w:after="225" w:line="360" w:lineRule="auto"/>
        <w:rPr>
          <w:rFonts w:ascii="Arial" w:cs="Arial" w:eastAsia="Arial" w:hAnsi="Arial"/>
          <w:b w:val="1"/>
          <w:bCs w:val="1"/>
          <w:i w:val="0"/>
          <w:iCs w:val="0"/>
          <w:u w:val="none"/>
          <w:sz w:val="28"/>
          <w:szCs w:val="28"/>
        </w:rPr>
      </w:pPr>
      <w:r>
        <w:rPr>
          <w:rFonts w:ascii="Arial" w:cs="Arial" w:eastAsia="Arial" w:hAnsi="Arial"/>
          <w:b w:val="1"/>
          <w:bCs w:val="1"/>
          <w:i w:val="0"/>
          <w:iCs w:val="0"/>
          <w:u w:val="none"/>
          <w:sz w:val="28"/>
          <w:szCs w:val="28"/>
        </w:rPr>
        <w:t xml:space="preserve">9. Anexo: puertos, rutas y direcciones del sistema</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Tabla 15. Recursos de red y rutas del sistema.</w:t>
      </w:r>
    </w:p>
    <w:tbl>
      <w:tblPr>
        <w:tblStyle w:val="Table1"/>
        <w:tblW w:w="9360" w:type="dxa"/>
        <w:jc w:val="left"/>
        <w:tblBorders>
          <w:top w:val="single" w:sz="6" w:space="0" w:color="bdc3c7"/>
          <w:left w:val="single" w:sz="6" w:space="0" w:color="bdc3c7"/>
          <w:bottom w:val="single" w:sz="6" w:space="0" w:color="bdc3c7"/>
          <w:right w:val="single" w:sz="6" w:space="0" w:color="bdc3c7"/>
          <w:insideH w:val="single" w:sz="6" w:space="0" w:color="bdc3c7"/>
          <w:insideV w:val="single" w:sz="6" w:space="0" w:color="bdc3c7"/>
        </w:tblBorders>
        <w:tblLayout w:type="fixed"/>
        <w:tblLook w:val="0600"/>
      </w:tblPr>
      <w:tblGrid>
        <w:gridCol w:w="2400"/>
        <w:gridCol w:w="3100"/>
        <w:gridCol w:w="3860"/>
      </w:tblGrid>
      <w:tr>
        <w:trPr>
          <w:cantSplit w:val="0"/>
          <w:tblHeader w:val="1"/>
        </w:trPr>
        <w:tc>
          <w:tcPr>
            <w:tcW w:w="24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Recurso</w:t>
            </w:r>
          </w:p>
        </w:tc>
        <w:tc>
          <w:tcPr>
            <w:tcW w:w="31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Valor</w:t>
            </w:r>
          </w:p>
        </w:tc>
        <w:tc>
          <w:tcPr>
            <w:tcW w:w="386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Descripción</w:t>
            </w:r>
          </w:p>
        </w:tc>
      </w:tr>
      <w:tr>
        <w:trPr>
          <w:cantSplit w:val="0"/>
        </w:trPr>
        <w:tc>
          <w:tcPr>
            <w:tcW w:w="24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API REST</w:t>
            </w:r>
          </w:p>
        </w:tc>
        <w:tc>
          <w:tcPr>
            <w:tcW w:w="31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http://127.0.0.1:8000</w:t>
            </w:r>
          </w:p>
        </w:tc>
        <w:tc>
          <w:tcPr>
            <w:tcW w:w="38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Servicio principal del backend.</w:t>
            </w:r>
          </w:p>
        </w:tc>
      </w:tr>
      <w:tr>
        <w:trPr>
          <w:cantSplit w:val="0"/>
        </w:trPr>
        <w:tc>
          <w:tcPr>
            <w:tcW w:w="24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Documentación Swagger</w:t>
            </w:r>
          </w:p>
        </w:tc>
        <w:tc>
          <w:tcPr>
            <w:tcW w:w="31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http://127.0.0.1:8000/docs</w:t>
            </w:r>
          </w:p>
        </w:tc>
        <w:tc>
          <w:tcPr>
            <w:tcW w:w="38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Referencia interactiva de la API.</w:t>
            </w:r>
          </w:p>
        </w:tc>
      </w:tr>
      <w:tr>
        <w:trPr>
          <w:cantSplit w:val="0"/>
        </w:trPr>
        <w:tc>
          <w:tcPr>
            <w:tcW w:w="24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Visor 3D web</w:t>
            </w:r>
          </w:p>
        </w:tc>
        <w:tc>
          <w:tcPr>
            <w:tcW w:w="31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http://127.0.0.1:8000/static/viewer.html</w:t>
            </w:r>
          </w:p>
        </w:tc>
        <w:tc>
          <w:tcPr>
            <w:tcW w:w="38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Visor accesible desde el navegador.</w:t>
            </w:r>
          </w:p>
        </w:tc>
      </w:tr>
      <w:tr>
        <w:trPr>
          <w:cantSplit w:val="0"/>
        </w:trPr>
        <w:tc>
          <w:tcPr>
            <w:tcW w:w="24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Servidor Minecraft</w:t>
            </w:r>
          </w:p>
        </w:tc>
        <w:tc>
          <w:tcPr>
            <w:tcW w:w="31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localhost:25565</w:t>
            </w:r>
          </w:p>
        </w:tc>
        <w:tc>
          <w:tcPr>
            <w:tcW w:w="38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Servidor Paper 26.2.</w:t>
            </w:r>
          </w:p>
        </w:tc>
      </w:tr>
      <w:tr>
        <w:trPr>
          <w:cantSplit w:val="0"/>
        </w:trPr>
        <w:tc>
          <w:tcPr>
            <w:tcW w:w="24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WebSocket del plugin</w:t>
            </w:r>
          </w:p>
        </w:tc>
        <w:tc>
          <w:tcPr>
            <w:tcW w:w="31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ws://127.0.0.1:8765</w:t>
            </w:r>
          </w:p>
        </w:tc>
        <w:tc>
          <w:tcPr>
            <w:tcW w:w="38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Puente entre el backend y el simulador.</w:t>
            </w:r>
          </w:p>
        </w:tc>
      </w:tr>
      <w:tr>
        <w:trPr>
          <w:cantSplit w:val="0"/>
        </w:trPr>
        <w:tc>
          <w:tcPr>
            <w:tcW w:w="24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Base de datos</w:t>
            </w:r>
          </w:p>
        </w:tc>
        <w:tc>
          <w:tcPr>
            <w:tcW w:w="31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backend/data/mine_explorer.db</w:t>
            </w:r>
          </w:p>
        </w:tc>
        <w:tc>
          <w:tcPr>
            <w:tcW w:w="38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Mapa volumétrico y estado de misiones.</w:t>
            </w:r>
          </w:p>
        </w:tc>
      </w:tr>
      <w:tr>
        <w:trPr>
          <w:cantSplit w:val="0"/>
        </w:trPr>
        <w:tc>
          <w:tcPr>
            <w:tcW w:w="24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Artefactos de exportación</w:t>
            </w:r>
          </w:p>
        </w:tc>
        <w:tc>
          <w:tcPr>
            <w:tcW w:w="31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backend/data/maps/mission_&lt;id&gt;/</w:t>
            </w:r>
          </w:p>
        </w:tc>
        <w:tc>
          <w:tcPr>
            <w:tcW w:w="38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Archivos generados por el backend.</w:t>
            </w:r>
          </w:p>
        </w:tc>
      </w:tr>
      <w:tr>
        <w:trPr>
          <w:cantSplit w:val="0"/>
        </w:trPr>
        <w:tc>
          <w:tcPr>
            <w:tcW w:w="24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Modelo de riesgo</w:t>
            </w:r>
          </w:p>
        </w:tc>
        <w:tc>
          <w:tcPr>
            <w:tcW w:w="31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backend/data/models/cnn_mina.pt</w:t>
            </w:r>
          </w:p>
        </w:tc>
        <w:tc>
          <w:tcPr>
            <w:tcW w:w="38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Checkpoint de la 3D-CNN.</w:t>
            </w:r>
          </w:p>
        </w:tc>
      </w:tr>
      <w:tr>
        <w:trPr>
          <w:cantSplit w:val="0"/>
        </w:trPr>
        <w:tc>
          <w:tcPr>
            <w:tcW w:w="24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Descargas de la aplicación</w:t>
            </w:r>
          </w:p>
        </w:tc>
        <w:tc>
          <w:tcPr>
            <w:tcW w:w="31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~/Descargas/MineExplorer/mission_&lt;id&gt;/</w:t>
            </w:r>
          </w:p>
        </w:tc>
        <w:tc>
          <w:tcPr>
            <w:tcW w:w="38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Carpeta de exportación local.</w:t>
            </w:r>
          </w:p>
        </w:tc>
      </w:tr>
    </w:tbl>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sectPr>
      <w:footerReference r:id="rId12" w:type="default"/>
      <w:type w:val="nextPage"/>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abstractNum w:abstractNumId="10">
    <w:multiLevelType w:val="singleLevel"/>
    <w:lvl w:ilvl="0">
      <w:start w:val="1"/>
      <w:numFmt w:val="decimal"/>
      <w:lvlText w:val="%1."/>
      <w:lvlJc w:val="left"/>
      <w:pPr>
        <w:ind w:left="600" w:hanging="360"/>
      </w:pPr>
      <w:rPr>
        <w:rFonts w:ascii="Arial" w:cs="Arial" w:eastAsia="Arial" w:hAnsi="Arial"/>
        <w:b w:val="0"/>
        <w:bCs w:val="0"/>
        <w:i w:val="0"/>
        <w:iCs w:val="0"/>
        <w:sz w:val="22"/>
        <w:szCs w:val="22"/>
      </w:rPr>
    </w:lvl>
  </w:abstractNum>
  <w:num w:numId="2">
    <w:abstractNumId w:val="2"/>
  </w:num>
  <w:num w:numId="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spacing w:after="225" w:line="360" w:lineRule="auto"/>
    </w:pPr>
    <w:rPr>
      <w:b w:val="1"/>
      <w:bCs w:val="1"/>
      <w:sz w:val="28"/>
      <w:szCs w:val="28"/>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2" Type="http://schemas.openxmlformats.org/officeDocument/2006/relationships/footer" Target="footer2.xml"/><Relationship Id="rId5" Type="http://schemas.openxmlformats.org/officeDocument/2006/relationships/styles" Target="style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