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项目总结文档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AF2F8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执行摘要：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本项目实现了一个以 Harness、Loop、Graph 为核心范式的通用 Agent 平台，并落地证券金融分析、天气分析、模拟盘和真实 LLM 回放实验。当前交付物是可运行的研究级工程原型，不是连接真实券商的生产交易系统。</w:t>
            </w:r>
          </w:p>
        </w:tc>
      </w:tr>
    </w:tbl>
    <w:p/>
    <w:p>
      <w:pPr>
        <w:pStyle w:val="Heading1"/>
      </w:pPr>
      <w:r>
        <w:t>一、项目目标与边界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项目目标是把“模型调用”升级为可审计、可恢复、可测试的 Agent 应用：系统能够接收用户任务，调用工具取得数据，由多个专业 Agent 分析，再经过结构化校验、来源校验、风险控制和人工审批，最终返回研究结果。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边界必须明确：系统只生成研究建议和模拟交易结果；MockBroker 不连接券商、不提交真实订单；真实行情和天气属于外部网络依赖；回测指标如 Sharpe 未达标时按事实记录，不通过修改公式或样本伪造达标。</w:t>
      </w:r>
    </w:p>
    <w:p>
      <w:pPr>
        <w:pStyle w:val="Heading1"/>
      </w:pPr>
      <w:r>
        <w:t>二、总体架构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294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主要组件</w:t>
            </w:r>
          </w:p>
        </w:tc>
        <w:tc>
          <w:tcPr>
            <w:tcW w:type="dxa" w:w="481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展示层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frontend_prototype.html；Streamlit 备用界面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登录、行情、证券分析、深度投研、天气、模拟盘和状态展示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接口层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FastAPI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HTTP 路由、鉴权、参数校验、统一错误响应、研究任务和状态查询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编排层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LangGraph 1.x；SQLite Checkpoint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节点、条件路由、中断、恢复、审批和任务状态持久化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Agent 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Technical/Fundamental/Industry/Regime/Bull-Bear/Synthesis/Trader/Risk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分工分析、综合判断、交易建议和风险拦截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Provider Factory；AkShare/腾讯公开行情/Open-Meteo/样例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按模式读取数据，记录 source、data_status、updated_at，并支持受控降级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存储层</w:t>
            </w:r>
          </w:p>
        </w:tc>
        <w:tc>
          <w:tcPr>
            <w:tcW w:type="dxa" w:w="294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SQLite store、用户表、会话、checkpoint、模拟盘记录</w:t>
            </w:r>
          </w:p>
        </w:tc>
        <w:tc>
          <w:tcPr>
            <w:tcW w:type="dxa" w:w="481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身份、历史、任务恢复和审计数据</w:t>
            </w:r>
          </w:p>
        </w:tc>
      </w:tr>
    </w:tbl>
    <w:p/>
    <w:p>
      <w:pPr>
        <w:pStyle w:val="Heading1"/>
      </w:pPr>
      <w:r>
        <w:t>三、核心设计范式</w:t>
      </w:r>
    </w:p>
    <w:p>
      <w:pPr>
        <w:pStyle w:val="Heading2"/>
      </w:pPr>
      <w:r>
        <w:t>3.1 Harness：模型外部的质量控制线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Harness 不是模型本身，而是包围模型调用的工程控制层。它统一处理输入、Provider、输出解析、Schema 校验、Guardrail、重试、日志和指标。这样模型输出不再直接进入交易建议流程。</w:t>
      </w:r>
    </w:p>
    <w:p>
      <w:pPr>
        <w:pStyle w:val="Heading2"/>
      </w:pPr>
      <w:r>
        <w:t>3.2 Loop：让 Agent 能持续完成任务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Loop 由规划、工具调用、观察结果、反思判断和继续或结束五个要素组成。每轮循环都有状态，遇到工具失败可以重试，遇到风险或需要人决定时可以停止。</w:t>
      </w:r>
    </w:p>
    <w:p>
      <w:pPr>
        <w:pStyle w:val="Heading2"/>
      </w:pPr>
      <w:r>
        <w:t>3.3 Graph：把流程变成可审计的状态机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证券深度投研使用 LangGraph 节点和条件边表达流程。图中节点负责单一动作，条件边根据 status、置信度和风险结果选择下一步；interrupt 将流程暂停并等待 approve/reject；SQLite checkpoint 使服务重启后仍能恢复。</w:t>
      </w:r>
    </w:p>
    <w:p>
      <w:pPr>
        <w:pStyle w:val="Heading1"/>
      </w:pPr>
      <w:r>
        <w:t>四、证券分析工作流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接收 symbol 和 data_mode，校验输入并建立 thread_id。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四个 Specialist Agent 并行或按编排策略读取行情、基本面、行业和市场状态。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Bull/Bear 对关键结论进行多空观点对照，Synthesis 生成结构化综合报告。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Trader 生成参考价、止损价、交易信号和建议仓位；Risk Manager 按止损距离计算单笔账户风险并限制在 2% 内。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需要人工决策时触发 human approval；批准后执行模拟动作，拒绝则进入 block；置信度不足进入 no_trade。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所有结果写入状态和 checkpoint，API 返回 completed、interrupted、no_trade、failed 等真实状态。</w:t>
      </w:r>
    </w:p>
    <w:p>
      <w:pPr>
        <w:pStyle w:val="Heading1"/>
      </w:pPr>
      <w:r>
        <w:t>五、数据真实性与降级策略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</w:trPr>
        <w:tc>
          <w:tcPr>
            <w:tcW w:type="dxa" w:w="130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模式</w:t>
            </w:r>
          </w:p>
        </w:tc>
        <w:tc>
          <w:tcPr>
            <w:tcW w:type="dxa" w:w="289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2381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允许的表述</w:t>
            </w:r>
          </w:p>
        </w:tc>
        <w:tc>
          <w:tcPr>
            <w:tcW w:type="dxa" w:w="249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限制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SampleMarketDataProvider / offline_sample_data.py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内置样例数据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不代表实时行情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Provider Factory 选择 AkShare、腾讯公开接口等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联网行情/公开接口返回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依赖网络、接口可用性和交易时段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fallback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主数据源失败后受控切换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降级数据，并记录 fallback_reason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不能把降级结果标为实时</w:t>
            </w:r>
          </w:p>
        </w:tc>
      </w:tr>
      <w:tr>
        <w:tc>
          <w:tcPr>
            <w:tcW w:type="dxa" w:w="130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unavailable</w:t>
            </w:r>
          </w:p>
        </w:tc>
        <w:tc>
          <w:tcPr>
            <w:tcW w:type="dxa" w:w="289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无法取得或校验失败</w:t>
            </w:r>
          </w:p>
        </w:tc>
        <w:tc>
          <w:tcPr>
            <w:tcW w:type="dxa" w:w="2381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数据不可用</w:t>
            </w:r>
          </w:p>
        </w:tc>
        <w:tc>
          <w:tcPr>
            <w:tcW w:type="dxa" w:w="249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应停止相关分析，不静默填零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每个关键结果应包含 source、data_status、updated_at；价格、昨收、交易时间和交易日范围进行一致性校验。真实数据和样例数据在前端徽标、报告和 API 中明确区分。</w:t>
      </w:r>
    </w:p>
    <w:p>
      <w:pPr>
        <w:pStyle w:val="Heading1"/>
      </w:pPr>
      <w:r>
        <w:t>六、模拟盘与安全边界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模拟盘使用 MockBroker 和本地 SQLite 记录现金、持仓、订单、成交、净值和异常。它用于验证订单状态机、幂等、恢复和前端交互，不等价于真实交易。2026-08-14 已记录首个有效真实交易日：000001 和 600519 均为腾讯公开 live 行情且无降级，当前为 1/7；其余天数必须由自然时间积累。</w:t>
      </w:r>
    </w:p>
    <w:p>
      <w:pPr>
        <w:pStyle w:val="Heading1"/>
      </w:pPr>
      <w:r>
        <w:t>七、真实 DeepSeek Harness 回放证据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证据边界：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真实回放属于固定离线评测，不等于生产用户流量。Mock 固定集的 100% 拦截结果不能替代真实模型指标。</w:t>
            </w:r>
          </w:p>
        </w:tc>
      </w:tr>
    </w:tbl>
    <w:p/>
    <w:p>
      <w:pPr>
        <w:pStyle w:val="Heading2"/>
      </w:pPr>
      <w:r>
        <w:t>7.1 100 条真实结果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2026-08-14 使用固定人工标注评测集 enterprise_harness_100_v1 执行了 100 条真实 DeepSeek 回放。每条任务只调用模型一次，再对同一响应执行 OFF/ON 对照。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实测值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解释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样本数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正常、20 缺字段、15 违规、10 注入、10 数据风险、5 格式异常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67.0%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 条中 67 条通过 OFF 结构检查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实际结果与人工预期类别一致的比例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预期违规样本全部被识别并拦截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93.75%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实际违规拦截中属于预期违规的比例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正常请求误报率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条正常请求没有被错误拦截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人工审核率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输入风险检测命中的比例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固定事实错误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0/40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条携带事实快照的正常任务未观测到事实篡改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无效下游动作资格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 60 -&gt; ON 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Harness 阻止结构或合规不合格结果进入下游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2.144 / 2.821 / 5.002 秒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真实调用延迟分布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CE4D6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真实结论：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真实模型的 100 条结果显示，本轮违规拦截召回率为 100%、正常误报率为 0%，但仍有 33% 的输出未通过结构检查。40 条事实核验样本未观测到事实错误，因此事实错误阻断率没有有效分母，应记为 N/A，不能声称已证明真实幻觉率为零。当前只完成 1 个自然日，7 天证据状态仍为 collecting。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新版评测集给正常任务附带固定事实快照，并保存脱敏后的结构化输出逐字段核验；只有完成核验的样本才进入幻觉率分母。同时统计 Harness OFF/ON 下输出是否有资格触发下游动作，以计算被阻止的无效调用。该统计不执行真实交易或业务 API。旧报告缺少这些字段，不能倒推新指标。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结构化输出兼容性补充：deepseek-chat 在本环境对 response_format 请求出现 HTTP 400，因此系统不会强行启用 JSON Mode；deepseek-v4-flash 的 3 条冒烟测试可正常返回 JSON，但 P95 延迟约 11.08 秒。系统现在按模型能力自动选择，优先保证兼容性，不把协议错误伪装成模型质量指标。</w:t>
      </w:r>
    </w:p>
    <w:p>
      <w:pPr>
        <w:pStyle w:val="Heading1"/>
      </w:pPr>
      <w:r>
        <w:t>八、回测与未达标项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回测保留原 Sharpe 公式、年化方式、无风险利率、0.5 阈值和 MA baseline。当前已完成成本、滑点、印花税、连续仓位、Walk-forward、样本外对比和基准收益记录，但策略研究结果仍未稳定达到 Sharpe 0.5。正式基线多因子样本外均值约为 -0.337；本轮预先定义的稳健选参挑战方案实测为 -0.499，未带来改善，因此没有替换正式基线。</w:t>
      </w:r>
    </w:p>
    <w:p>
      <w:pPr>
        <w:pStyle w:val="Heading1"/>
      </w:pPr>
      <w:r>
        <w:t>九、质量验证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门禁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结果/状态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证据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单元与集成测试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1622 项收集；1621 passed，1 skipped，0 failed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2026-08-14 pytest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静态检查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pyflakes、compileall 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命令输出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前端语法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已通过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Scripts/check_frontend_syntax.js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敏感信息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API Key 不写入代码、文档、日志或 Git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.env 与报告审计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真实券商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未连接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MockBroker 与 AST/集成测试</w:t>
            </w:r>
          </w:p>
        </w:tc>
      </w:tr>
    </w:tbl>
    <w:p/>
    <w:p>
      <w:pPr>
        <w:pStyle w:val="Heading1"/>
      </w:pPr>
      <w:r>
        <w:t>十、导师验收建议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.env，保持 LLM_PROVIDER=mock，先验证离线流程。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启动 FastAPI，打开 http://127.0.0.1:8003/docs 查看接口。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使用 DEMO001 + offline 验证四个 Agent、source 和 data_status。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使用 auto 模式验证联网成功、降级和 unavailable 三种状态。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验证深度投研 interrupted 后 approve/reject、服务重启恢复和 no_trade。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运行 pytest，并查看 docs/experiments 中脱敏后的真实回放报告。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检查模拟盘仅产生本地 MockBroker 记录，没有真实订单。</w:t>
      </w:r>
    </w:p>
    <w:p>
      <w:pPr>
        <w:pStyle w:val="Heading1"/>
      </w:pPr>
      <w:r>
        <w:t>十一、后续计划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扩大真实 LLM 回放任务和多日期运行，形成可统计的 Schema、拦截、延迟和重试样本。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自然运行模拟盘至少 7-14 个真实交易日后，再决定是否满足时间证据要求。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继续采用严格样本外和多基准验证改进策略，保留原始 baseline 和公式。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生产化前补充密钥管理、用户级隔离、监控告警、备份恢复、审计保留策略和部署演练。</w:t>
      </w:r>
    </w:p>
    <w:p>
      <w:pPr>
        <w:pStyle w:val="Heading1"/>
      </w:pPr>
      <w:r>
        <w:t>十二、免责声明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本系统用于 Agent 工程、数据流程、风控和研究方法演示。证券分析结果不构成投资建议；联网数据可能延迟、缺失或受第三方接口限制；严禁把模拟盘结果当作真实收益，也不得在未完成生产安全审查前接入真实交易。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