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微软雅黑"/>
          <w:b/>
          <w:color w:val="0B2545"/>
          <w:sz w:val="46"/>
        </w:rPr>
        <w:t>项目指导说明书</w:t>
      </w:r>
    </w:p>
    <w:p>
      <w:pPr>
        <w:spacing w:after="360"/>
        <w:jc w:val="center"/>
      </w:pPr>
      <w:r>
        <w:rPr>
          <w:rFonts w:ascii="Calibri" w:hAnsi="Calibri" w:eastAsia="微软雅黑"/>
          <w:b w:val="0"/>
          <w:color w:val="555555"/>
          <w:sz w:val="24"/>
        </w:rPr>
        <w:t>从空目录手把手搭建可运行的工程原型</w:t>
      </w:r>
    </w:p>
    <w:p>
      <w:pPr>
        <w:pStyle w:val="Heading1"/>
      </w:pPr>
      <w:r>
        <w:t>一、准备环境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安装 Python 3.11，并确认 python --version。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创建虚拟环境：python -m venv .venv；Windows 激活：.venv\Scripts\activate。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安装项目依赖：python -m pip install -e .；需要联网行情时再安装项目定义的 AkShare 额外依赖。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复制 .env.example 为 .env，仅在本地填写密钥；严禁把 .env 提交到 Git。</w:t>
      </w:r>
    </w:p>
    <w:p>
      <w:pPr>
        <w:pStyle w:val="Heading1"/>
      </w:pPr>
      <w:r>
        <w:t>二、先搭通用平台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>
              <w:rPr>
                <w:rFonts w:ascii="Calibri" w:hAnsi="Calibri" w:eastAsia="微软雅黑"/>
                <w:b/>
                <w:color w:val="1F4D78"/>
                <w:sz w:val="20"/>
              </w:rPr>
              <w:t>顺序</w:t>
            </w:r>
          </w:p>
        </w:tc>
        <w:tc>
          <w:tcPr>
            <w:tcW w:type="dxa" w:w="3120"/>
            <w:vAlign w:val="center"/>
            <w:shd w:fill="E8EEF5"/>
          </w:tcPr>
          <w:p>
            <w:r>
              <w:rPr>
                <w:rFonts w:ascii="Calibri" w:hAnsi="Calibri" w:eastAsia="微软雅黑"/>
                <w:b/>
                <w:color w:val="1F4D78"/>
                <w:sz w:val="20"/>
              </w:rPr>
              <w:t>创建内容</w:t>
            </w:r>
          </w:p>
        </w:tc>
        <w:tc>
          <w:tcPr>
            <w:tcW w:type="dxa" w:w="3120"/>
            <w:vAlign w:val="center"/>
            <w:shd w:fill="E8EEF5"/>
          </w:tcPr>
          <w:p>
            <w:r>
              <w:rPr>
                <w:rFonts w:ascii="Calibri" w:hAnsi="Calibri" w:eastAsia="微软雅黑"/>
                <w:b/>
                <w:color w:val="1F4D78"/>
                <w:sz w:val="20"/>
              </w:rPr>
              <w:t>验收方式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Rule、Skill、SPEC、AGENTS.md 和 checklist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任何新开发者能找到约束、工具和成功标准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ToolRegistry 与 AgentLoop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Echo Agent 能完成规划、调用、观察、反思、决策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LoopMemory SQLite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新建对象重新打开同一数据库仍能读到记录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AgentHarness 与 Guardrail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缺 source、非法 Schema、违规词会被阻断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TaskStateNamespace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19"/>
              </w:rPr>
              <w:t>不同 task_id 写入不同目录，../escape 被拒绝</w:t>
            </w:r>
          </w:p>
        </w:tc>
      </w:tr>
    </w:tbl>
    <w:p>
      <w:pPr>
        <w:spacing w:after="40"/>
      </w:pPr>
    </w:p>
    <w:p>
      <w:pPr>
        <w:pStyle w:val="Heading1"/>
      </w:pPr>
      <w:r>
        <w:t>三、实现 LangGraph 工作流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定义 TypedDict 状态；并行节点写不同 key，列表字段明确 reducer。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创建 StateGraph，START 扇出到 technical、fundamental、industry、market_regime。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四路都指向 synthesis，LangGraph 会等待所有前驱完成。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使用 add_conditional_edges 定义 no_trade、debate_approval、trader_agent 等分支。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使用 interrupt() 暂停，并为生产模式注入 SqliteSaver；resume 必须携带同一 thread_id。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在 Workflow/securities_analysis.workflow.json 同步节点、边、状态键和中断声明，并用一致性测试防漂移。</w:t>
      </w:r>
    </w:p>
    <w:p>
      <w:pPr>
        <w:pStyle w:val="Heading1"/>
      </w:pPr>
      <w:r>
        <w:t>四、接入真实公开数据</w:t>
      </w:r>
    </w:p>
    <w:p>
      <w:pPr>
        <w:ind w:firstLine="360"/>
      </w:pPr>
      <w:r>
        <w:rPr>
          <w:rFonts w:ascii="Calibri" w:hAnsi="Calibri" w:eastAsia="微软雅黑"/>
          <w:b w:val="0"/>
          <w:sz w:val="22"/>
        </w:rPr>
        <w:t>先用 offline 跑通全部功能，再切 auto。在线工具必须在 MCP Registry 注册，requires_network=True；离线工具必须独立注册，函数体不能 import 网络库。每个成功信封带 source 和 updated_at，失败信封 data 必须为 None。使用 000001 或 600519 等真实代码测试，不要用 DEMO001 验证联网。</w:t>
      </w:r>
    </w:p>
    <w:p>
      <w:pPr>
        <w:pStyle w:val="Heading1"/>
      </w:pPr>
      <w:r>
        <w:t>五、实现四类金融 Agent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技术：取历史 OHLCV，由确定性指标函数计算 MA/MACD/RSI/KDJ/ATR/CCI。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基本面：取估值和财务指标；缺少完整报表时 DCF 必须标记 proxy、low confidence 和 limitations。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行业：输出行业、景气、资金流和龙头证据。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市场状态：输出指数趋势、风险偏好和 regime。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每个 Agent 通过 SpecialistRuntime 进入 AgentLoop，再由 AgentHarness 做 Schema、source 和 CrossValidator 校验。</w:t>
      </w:r>
    </w:p>
    <w:p>
      <w:pPr>
        <w:pStyle w:val="Heading1"/>
      </w:pPr>
      <w:r>
        <w:t>六、接入交易决策和模拟盘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Synthesis 输出 signal 和 confidence；低于阈值 no_trade。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Trader 计算仓位；超过 10% 抛出 HumanApprovalRequired。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Risk Manager 校验交易信号；TradingHarness 运行 Pre-Flight。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模拟盘只使用 MockBroker；通过 /paper-trading/accounts 创建账户、/orders 下单、/refresh 刷新行情，SQLite 保存快照。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连续策略模拟使用 POST /paper-trading/runs，结果通过 GET /paper-trading/runs/{run_id} 恢复。</w:t>
      </w:r>
    </w:p>
    <w:p>
      <w:pPr>
        <w:pStyle w:val="Heading1"/>
      </w:pPr>
      <w:r>
        <w:t>七、运行与验收命令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设置离线测试变量：$env:LLM_PROVIDER='mock'; $env:MARKET_DATA_PROVIDER='sample'。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运行服务：.venv\Scripts\python.exe -m uvicorn agent_platform.api.main:app --app-dir . --host 127.0.0.1 --port 8003。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打开 http://127.0.0.1:8003/docs，先调用 GET /health。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调用 POST /research/DEMO001?data_mode=offline，查询 state，若 interrupted 再调用 resume。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调用 POST /paper-trading/runs，symbols=[DEMO001]、data_mode=offline、days=20。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运行全量测试：.venv\Scripts\python.exe -m pytest -q -p no:cacheprovider。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联网验收：切换 data_mode=auto，使用真实 A 股代码，检查 source、updated_at 和 data_status；严禁把结果用于真实下单。</w:t>
      </w:r>
    </w:p>
    <w:p>
      <w:pPr>
        <w:pStyle w:val="Heading1"/>
      </w:pPr>
      <w:r>
        <w:t>八、交付前检查清单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pytest、compileall、前端 node --check 全部通过。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offline 模式零网络调用；auto 失败时 fallback_reason 非空。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所有输出含来源、时间和免责声明。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人工审批 reject 不会进入风险或模拟执行节点。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Sharpe 若未达阈值，报告必须标记未达标。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检查 git status，确认 .env、密钥、数据库和缓存未提交。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b w:val="0"/>
        <w:color w:val="555555"/>
        <w:sz w:val="18"/>
      </w:rPr>
      <w:t>东方国信实习项目 | 仅供研究参考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微软雅黑"/>
        <w:b w:val="0"/>
        <w:color w:val="555555"/>
        <w:sz w:val="18"/>
      </w:rPr>
      <w:t>通用 Agent 平台及证券金融分析应用 | 项目交付资料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