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F4E79"/>
          <w:sz w:val="44"/>
        </w:rPr>
        <w:t>项目总结文档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667085"/>
          <w:sz w:val="20"/>
        </w:rPr>
        <w:t>企业级研究型 Agent 平台项目交付材料 | 版本：2026-08-14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EAF2F8"/>
            <w:tcBorders>
              <w:top w:val="single" w:sz="4" w:color="9FBAD0"/>
              <w:left w:val="single" w:sz="4" w:color="9FBAD0"/>
              <w:bottom w:val="single" w:sz="4" w:color="9FBAD0"/>
              <w:right w:val="single" w:sz="4" w:color="9FBAD0"/>
              <w:insideH w:val="single" w:sz="4" w:color="9FBAD0"/>
              <w:insideV w:val="single" w:sz="4" w:color="9FBAD0"/>
            </w:tcBorders>
          </w:tcPr>
          <w:p>
            <w:r/>
            <w:r>
              <w:rPr>
                <w:rFonts w:ascii="Microsoft YaHei" w:hAnsi="Microsoft YaHei" w:eastAsia="Microsoft YaHei"/>
                <w:b/>
                <w:color w:val="1F4E79"/>
                <w:sz w:val="21"/>
              </w:rPr>
              <w:t>执行摘要：</w:t>
            </w: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本项目实现了一个以 Harness、Loop、Graph 为核心范式的通用 Agent 平台，并落地证券金融分析、天气分析、模拟盘和真实 LLM 回放实验。当前交付物是可运行的研究级工程原型，不是连接真实券商的生产交易系统。</w:t>
            </w:r>
          </w:p>
        </w:tc>
      </w:tr>
    </w:tbl>
    <w:p/>
    <w:p>
      <w:pPr>
        <w:pStyle w:val="Heading1"/>
      </w:pPr>
      <w:r>
        <w:t>一、项目目标与边界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项目目标是把“模型调用”升级为可审计、可恢复、可测试的 Agent 应用：系统能够接收用户任务，调用工具取得数据，由多个专业 Agent 分析，再经过结构化校验、来源校验、风险控制和人工审批，最终返回研究结果。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边界必须明确：系统只生成研究建议和模拟交易结果；MockBroker 不连接券商、不提交真实订单；真实行情和天气属于外部网络依赖；回测指标如 Sharpe 未达标时按事实记录，不通过修改公式或样本伪造达标。</w:t>
      </w:r>
    </w:p>
    <w:p>
      <w:pPr>
        <w:pStyle w:val="Heading1"/>
      </w:pPr>
      <w:r>
        <w:t>二、总体架构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1304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层次</w:t>
            </w:r>
          </w:p>
        </w:tc>
        <w:tc>
          <w:tcPr>
            <w:tcW w:type="dxa" w:w="2948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主要组件</w:t>
            </w:r>
          </w:p>
        </w:tc>
        <w:tc>
          <w:tcPr>
            <w:tcW w:type="dxa" w:w="4819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职责</w:t>
            </w:r>
          </w:p>
        </w:tc>
      </w:tr>
      <w:tr>
        <w:tc>
          <w:tcPr>
            <w:tcW w:type="dxa" w:w="130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展示层</w:t>
            </w:r>
          </w:p>
        </w:tc>
        <w:tc>
          <w:tcPr>
            <w:tcW w:type="dxa" w:w="294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frontend_prototype.html；Streamlit 备用界面</w:t>
            </w:r>
          </w:p>
        </w:tc>
        <w:tc>
          <w:tcPr>
            <w:tcW w:type="dxa" w:w="481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登录、行情、证券分析、深度投研、天气、模拟盘和状态展示</w:t>
            </w:r>
          </w:p>
        </w:tc>
      </w:tr>
      <w:tr>
        <w:tc>
          <w:tcPr>
            <w:tcW w:type="dxa" w:w="130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接口层</w:t>
            </w:r>
          </w:p>
        </w:tc>
        <w:tc>
          <w:tcPr>
            <w:tcW w:type="dxa" w:w="294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FastAPI</w:t>
            </w:r>
          </w:p>
        </w:tc>
        <w:tc>
          <w:tcPr>
            <w:tcW w:type="dxa" w:w="481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HTTP 路由、鉴权、参数校验、统一错误响应、研究任务和状态查询</w:t>
            </w:r>
          </w:p>
        </w:tc>
      </w:tr>
      <w:tr>
        <w:tc>
          <w:tcPr>
            <w:tcW w:type="dxa" w:w="130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编排层</w:t>
            </w:r>
          </w:p>
        </w:tc>
        <w:tc>
          <w:tcPr>
            <w:tcW w:type="dxa" w:w="294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LangGraph 1.x；SQLite Checkpoint</w:t>
            </w:r>
          </w:p>
        </w:tc>
        <w:tc>
          <w:tcPr>
            <w:tcW w:type="dxa" w:w="481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节点、条件路由、中断、恢复、审批和任务状态持久化</w:t>
            </w:r>
          </w:p>
        </w:tc>
      </w:tr>
      <w:tr>
        <w:tc>
          <w:tcPr>
            <w:tcW w:type="dxa" w:w="130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Agent 层</w:t>
            </w:r>
          </w:p>
        </w:tc>
        <w:tc>
          <w:tcPr>
            <w:tcW w:type="dxa" w:w="294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Technical/Fundamental/Industry/Regime/Bull-Bear/Synthesis/Trader/Risk</w:t>
            </w:r>
          </w:p>
        </w:tc>
        <w:tc>
          <w:tcPr>
            <w:tcW w:type="dxa" w:w="481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分工分析、综合判断、交易建议和风险拦截</w:t>
            </w:r>
          </w:p>
        </w:tc>
      </w:tr>
      <w:tr>
        <w:tc>
          <w:tcPr>
            <w:tcW w:type="dxa" w:w="130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数据层</w:t>
            </w:r>
          </w:p>
        </w:tc>
        <w:tc>
          <w:tcPr>
            <w:tcW w:type="dxa" w:w="294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Provider Factory；AkShare/腾讯公开行情/Open-Meteo/样例</w:t>
            </w:r>
          </w:p>
        </w:tc>
        <w:tc>
          <w:tcPr>
            <w:tcW w:type="dxa" w:w="481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按模式读取数据，记录 source、data_status、updated_at，并支持受控降级</w:t>
            </w:r>
          </w:p>
        </w:tc>
      </w:tr>
      <w:tr>
        <w:tc>
          <w:tcPr>
            <w:tcW w:type="dxa" w:w="130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存储层</w:t>
            </w:r>
          </w:p>
        </w:tc>
        <w:tc>
          <w:tcPr>
            <w:tcW w:type="dxa" w:w="294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SQLite store、用户表、会话、checkpoint、模拟盘记录</w:t>
            </w:r>
          </w:p>
        </w:tc>
        <w:tc>
          <w:tcPr>
            <w:tcW w:type="dxa" w:w="481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身份、历史、任务恢复和审计数据</w:t>
            </w:r>
          </w:p>
        </w:tc>
      </w:tr>
    </w:tbl>
    <w:p/>
    <w:p>
      <w:pPr>
        <w:pStyle w:val="Heading1"/>
      </w:pPr>
      <w:r>
        <w:t>三、核心设计范式</w:t>
      </w:r>
    </w:p>
    <w:p>
      <w:pPr>
        <w:pStyle w:val="Heading2"/>
      </w:pPr>
      <w:r>
        <w:t>3.1 Harness：模型外部的质量控制线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Harness 不是模型本身，而是包围模型调用的工程控制层。它统一处理输入、Provider、输出解析、Schema 校验、Guardrail、重试、日志和指标。这样模型输出不再直接进入交易建议流程。</w:t>
      </w:r>
    </w:p>
    <w:p>
      <w:pPr>
        <w:pStyle w:val="Heading2"/>
      </w:pPr>
      <w:r>
        <w:t>3.2 Loop：让 Agent 能持续完成任务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Loop 由规划、工具调用、观察结果、反思判断和继续或结束五个要素组成。每轮循环都有状态，遇到工具失败可以重试，遇到风险或需要人决定时可以停止。</w:t>
      </w:r>
    </w:p>
    <w:p>
      <w:pPr>
        <w:pStyle w:val="Heading2"/>
      </w:pPr>
      <w:r>
        <w:t>3.3 Graph：把流程变成可审计的状态机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证券深度投研使用 LangGraph 节点和条件边表达流程。图中节点负责单一动作，条件边根据 status、置信度和风险结果选择下一步；interrupt 将流程暂停并等待 approve/reject；SQLite checkpoint 使服务重启后仍能恢复。</w:t>
      </w:r>
    </w:p>
    <w:p>
      <w:pPr>
        <w:pStyle w:val="Heading1"/>
      </w:pPr>
      <w:r>
        <w:t>四、证券分析工作流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接收 symbol 和 data_mode，校验输入并建立 thread_id。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四个 Specialist Agent 并行或按编排策略读取行情、基本面、行业和市场状态。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Bull/Bear 对关键结论进行多空观点对照，Synthesis 生成结构化综合报告。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Trader 生成参考价、止损价、交易信号和建议仓位；Risk Manager 按止损距离计算单笔账户风险并限制在 2% 内。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需要人工决策时触发 human approval；批准后执行模拟动作，拒绝则进入 block；置信度不足进入 no_trade。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所有结果写入状态和 checkpoint，API 返回 completed、interrupted、no_trade、failed 等真实状态。</w:t>
      </w:r>
    </w:p>
    <w:p>
      <w:pPr>
        <w:pStyle w:val="Heading1"/>
      </w:pPr>
      <w:r>
        <w:t>五、数据真实性与降级策略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1304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模式</w:t>
            </w:r>
          </w:p>
        </w:tc>
        <w:tc>
          <w:tcPr>
            <w:tcW w:type="dxa" w:w="2891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数据来源</w:t>
            </w:r>
          </w:p>
        </w:tc>
        <w:tc>
          <w:tcPr>
            <w:tcW w:type="dxa" w:w="2381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允许的表述</w:t>
            </w:r>
          </w:p>
        </w:tc>
        <w:tc>
          <w:tcPr>
            <w:tcW w:type="dxa" w:w="2494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限制</w:t>
            </w:r>
          </w:p>
        </w:tc>
      </w:tr>
      <w:tr>
        <w:tc>
          <w:tcPr>
            <w:tcW w:type="dxa" w:w="130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offline</w:t>
            </w:r>
          </w:p>
        </w:tc>
        <w:tc>
          <w:tcPr>
            <w:tcW w:type="dxa" w:w="2891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SampleMarketDataProvider / offline_sample_data.py</w:t>
            </w:r>
          </w:p>
        </w:tc>
        <w:tc>
          <w:tcPr>
            <w:tcW w:type="dxa" w:w="2381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内置样例数据</w:t>
            </w:r>
          </w:p>
        </w:tc>
        <w:tc>
          <w:tcPr>
            <w:tcW w:type="dxa" w:w="249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不代表实时行情</w:t>
            </w:r>
          </w:p>
        </w:tc>
      </w:tr>
      <w:tr>
        <w:tc>
          <w:tcPr>
            <w:tcW w:type="dxa" w:w="130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auto/联网</w:t>
            </w:r>
          </w:p>
        </w:tc>
        <w:tc>
          <w:tcPr>
            <w:tcW w:type="dxa" w:w="2891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Provider Factory 选择 AkShare、腾讯公开接口等</w:t>
            </w:r>
          </w:p>
        </w:tc>
        <w:tc>
          <w:tcPr>
            <w:tcW w:type="dxa" w:w="2381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联网行情/公开接口返回</w:t>
            </w:r>
          </w:p>
        </w:tc>
        <w:tc>
          <w:tcPr>
            <w:tcW w:type="dxa" w:w="249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依赖网络、接口可用性和交易时段</w:t>
            </w:r>
          </w:p>
        </w:tc>
      </w:tr>
      <w:tr>
        <w:tc>
          <w:tcPr>
            <w:tcW w:type="dxa" w:w="130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fallback</w:t>
            </w:r>
          </w:p>
        </w:tc>
        <w:tc>
          <w:tcPr>
            <w:tcW w:type="dxa" w:w="2891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主数据源失败后受控切换</w:t>
            </w:r>
          </w:p>
        </w:tc>
        <w:tc>
          <w:tcPr>
            <w:tcW w:type="dxa" w:w="2381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降级数据，并记录 fallback_reason</w:t>
            </w:r>
          </w:p>
        </w:tc>
        <w:tc>
          <w:tcPr>
            <w:tcW w:type="dxa" w:w="249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不能把降级结果标为实时</w:t>
            </w:r>
          </w:p>
        </w:tc>
      </w:tr>
      <w:tr>
        <w:tc>
          <w:tcPr>
            <w:tcW w:type="dxa" w:w="130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unavailable</w:t>
            </w:r>
          </w:p>
        </w:tc>
        <w:tc>
          <w:tcPr>
            <w:tcW w:type="dxa" w:w="2891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无法取得或校验失败</w:t>
            </w:r>
          </w:p>
        </w:tc>
        <w:tc>
          <w:tcPr>
            <w:tcW w:type="dxa" w:w="2381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数据不可用</w:t>
            </w:r>
          </w:p>
        </w:tc>
        <w:tc>
          <w:tcPr>
            <w:tcW w:type="dxa" w:w="249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应停止相关分析，不静默填零</w:t>
            </w:r>
          </w:p>
        </w:tc>
      </w:tr>
    </w:tbl>
    <w:p/>
    <w:p>
      <w:r>
        <w:rPr>
          <w:rFonts w:ascii="Microsoft YaHei" w:hAnsi="Microsoft YaHei" w:eastAsia="Microsoft YaHei"/>
          <w:b w:val="0"/>
          <w:color w:val="000000"/>
          <w:sz w:val="21"/>
        </w:rPr>
        <w:t>每个关键结果应包含 source、data_status、updated_at；价格、昨收、交易时间和交易日范围进行一致性校验。真实数据和样例数据在前端徽标、报告和 API 中明确区分。</w:t>
      </w:r>
    </w:p>
    <w:p>
      <w:pPr>
        <w:pStyle w:val="Heading1"/>
      </w:pPr>
      <w:r>
        <w:t>六、模拟盘与安全边界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模拟盘使用 MockBroker 和本地 SQLite 记录现金、持仓、订单、成交、净值和异常。它用于验证订单状态机、幂等、恢复和前端交互，不等价于真实交易。2026-08-14 已记录首个有效真实交易日：000001 和 600519 均为腾讯公开 live 行情且无降级，当前为 1/7；其余天数必须由自然时间积累。</w:t>
      </w:r>
    </w:p>
    <w:p>
      <w:pPr>
        <w:pStyle w:val="Heading1"/>
      </w:pPr>
      <w:r>
        <w:t>七、真实 DeepSeek Harness 回放证据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FF2CC"/>
            <w:tcBorders>
              <w:top w:val="single" w:sz="4" w:color="9FBAD0"/>
              <w:left w:val="single" w:sz="4" w:color="9FBAD0"/>
              <w:bottom w:val="single" w:sz="4" w:color="9FBAD0"/>
              <w:right w:val="single" w:sz="4" w:color="9FBAD0"/>
              <w:insideH w:val="single" w:sz="4" w:color="9FBAD0"/>
              <w:insideV w:val="single" w:sz="4" w:color="9FBAD0"/>
            </w:tcBorders>
          </w:tcPr>
          <w:p>
            <w:r/>
            <w:r>
              <w:rPr>
                <w:rFonts w:ascii="Microsoft YaHei" w:hAnsi="Microsoft YaHei" w:eastAsia="Microsoft YaHei"/>
                <w:b/>
                <w:color w:val="1F4E79"/>
                <w:sz w:val="21"/>
              </w:rPr>
              <w:t>证据边界：</w:t>
            </w: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真实回放属于固定离线评测，不等于生产用户流量。Mock 固定集的 100% 拦截结果不能替代真实模型指标。</w:t>
            </w:r>
          </w:p>
        </w:tc>
      </w:tr>
    </w:tbl>
    <w:p/>
    <w:p>
      <w:pPr>
        <w:pStyle w:val="Heading2"/>
      </w:pPr>
      <w:r>
        <w:t>7.1 100 条真实结果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2026-08-14 使用固定人工标注评测集 enterprise_harness_100_v1 执行了 100 条真实 DeepSeek 回放。每条任务只调用模型一次，再对同一响应执行 OFF/ON 对照。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2268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2268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实测值</w:t>
            </w:r>
          </w:p>
        </w:tc>
        <w:tc>
          <w:tcPr>
            <w:tcW w:type="dxa" w:w="4535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解释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样本数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100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40 正常、20 缺字段、15 违规、10 注入、10 数据风险、5 格式异常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Schema 合格率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65.0%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100 条中 65 条通过 OFF 结构检查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标签匹配率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86.0%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实际结果与人工预期类别一致的比例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违规拦截召回率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93.3%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15 条预期违规中拦截 14 条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违规拦截精确率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77.8%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实际拦截结果中属于预期违规的比例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正常请求误报率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7.5%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40 条正常请求中 3 条被拦截或判为结构异常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人工审核率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10.0%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输入风险检测命中的比例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P50/P95/P99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1.831 / 2.656 / 3.709s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真实调用延迟分布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估算费用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$0.003543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按输入 $0.14、输出 $0.28 / 百万 Token 的假设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CE4D6"/>
            <w:tcBorders>
              <w:top w:val="single" w:sz="4" w:color="9FBAD0"/>
              <w:left w:val="single" w:sz="4" w:color="9FBAD0"/>
              <w:bottom w:val="single" w:sz="4" w:color="9FBAD0"/>
              <w:right w:val="single" w:sz="4" w:color="9FBAD0"/>
              <w:insideH w:val="single" w:sz="4" w:color="9FBAD0"/>
              <w:insideV w:val="single" w:sz="4" w:color="9FBAD0"/>
            </w:tcBorders>
          </w:tcPr>
          <w:p>
            <w:r/>
            <w:r>
              <w:rPr>
                <w:rFonts w:ascii="Microsoft YaHei" w:hAnsi="Microsoft YaHei" w:eastAsia="Microsoft YaHei"/>
                <w:b/>
                <w:color w:val="1F4E79"/>
                <w:sz w:val="21"/>
              </w:rPr>
              <w:t>真实结论：</w:t>
            </w: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真实模型的 100 条结果显示，当前 Harness 已能拦截大部分构造违规输出，但仍存在误报和结构错误；不能再使用 Mock 固定集的 100% 拦截率代表真实模型效果。当前只完成 1 个自然日，7 天证据状态仍为 collecting。</w:t>
            </w:r>
          </w:p>
        </w:tc>
      </w:tr>
    </w:tbl>
    <w:p/>
    <w:p>
      <w:r>
        <w:rPr>
          <w:rFonts w:ascii="Microsoft YaHei" w:hAnsi="Microsoft YaHei" w:eastAsia="Microsoft YaHei"/>
          <w:b w:val="0"/>
          <w:color w:val="000000"/>
          <w:sz w:val="21"/>
        </w:rPr>
        <w:t>新版评测集给正常任务附带固定事实快照，并保存脱敏后的结构化输出逐字段核验；只有完成核验的样本才进入幻觉率分母。同时统计 Harness OFF/ON 下输出是否有资格触发下游动作，以计算被阻止的无效调用。该统计不执行真实交易或业务 API。旧报告缺少这些字段，不能倒推新指标。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结构化输出兼容性补充：deepseek-chat 在本环境对 response_format 请求出现 HTTP 400，因此系统不会强行启用 JSON Mode；deepseek-v4-flash 的 3 条冒烟测试可正常返回 JSON，但 P95 延迟约 11.08 秒。系统现在按模型能力自动选择，优先保证兼容性，不把协议错误伪装成模型质量指标。</w:t>
      </w:r>
    </w:p>
    <w:p>
      <w:pPr>
        <w:pStyle w:val="Heading1"/>
      </w:pPr>
      <w:r>
        <w:t>八、回测与未达标项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回测保留原 Sharpe 公式、年化方式、无风险利率、0.5 阈值和 MA baseline。当前已完成成本、滑点、印花税、连续仓位、Walk-forward、样本外对比和基准收益记录，但策略研究结果仍未稳定达到 Sharpe 0.5。正式基线多因子样本外均值约为 -0.337；本轮预先定义的稳健选参挑战方案实测为 -0.499，未带来改善，因此没有替换正式基线。</w:t>
      </w:r>
    </w:p>
    <w:p>
      <w:pPr>
        <w:pStyle w:val="Heading1"/>
      </w:pPr>
      <w:r>
        <w:t>九、质量验证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2268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门禁</w:t>
            </w:r>
          </w:p>
        </w:tc>
        <w:tc>
          <w:tcPr>
            <w:tcW w:type="dxa" w:w="2835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结果/状态</w:t>
            </w:r>
          </w:p>
        </w:tc>
        <w:tc>
          <w:tcPr>
            <w:tcW w:type="dxa" w:w="3969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证据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单元与集成测试</w:t>
            </w:r>
          </w:p>
        </w:tc>
        <w:tc>
          <w:tcPr>
            <w:tcW w:type="dxa" w:w="28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1604 项收集；1603 passed，1 skipped，0 failed</w:t>
            </w:r>
          </w:p>
        </w:tc>
        <w:tc>
          <w:tcPr>
            <w:tcW w:type="dxa" w:w="396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2026-08-14 pytest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静态检查</w:t>
            </w:r>
          </w:p>
        </w:tc>
        <w:tc>
          <w:tcPr>
            <w:tcW w:type="dxa" w:w="28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pyflakes、compileall 已通过</w:t>
            </w:r>
          </w:p>
        </w:tc>
        <w:tc>
          <w:tcPr>
            <w:tcW w:type="dxa" w:w="396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命令输出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前端语法</w:t>
            </w:r>
          </w:p>
        </w:tc>
        <w:tc>
          <w:tcPr>
            <w:tcW w:type="dxa" w:w="28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已通过</w:t>
            </w:r>
          </w:p>
        </w:tc>
        <w:tc>
          <w:tcPr>
            <w:tcW w:type="dxa" w:w="396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Scripts/check_frontend_syntax.js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敏感信息</w:t>
            </w:r>
          </w:p>
        </w:tc>
        <w:tc>
          <w:tcPr>
            <w:tcW w:type="dxa" w:w="28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API Key 不写入代码、文档、日志或 Git</w:t>
            </w:r>
          </w:p>
        </w:tc>
        <w:tc>
          <w:tcPr>
            <w:tcW w:type="dxa" w:w="396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.env 与报告审计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真实券商</w:t>
            </w:r>
          </w:p>
        </w:tc>
        <w:tc>
          <w:tcPr>
            <w:tcW w:type="dxa" w:w="28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未连接</w:t>
            </w:r>
          </w:p>
        </w:tc>
        <w:tc>
          <w:tcPr>
            <w:tcW w:type="dxa" w:w="396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MockBroker 与 AST/集成测试</w:t>
            </w:r>
          </w:p>
        </w:tc>
      </w:tr>
    </w:tbl>
    <w:p/>
    <w:p>
      <w:pPr>
        <w:pStyle w:val="Heading1"/>
      </w:pPr>
      <w:r>
        <w:t>十、导师验收建议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复制 .env.example 为 .env，保持 LLM_PROVIDER=mock，先验证离线流程。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启动 FastAPI，打开 http://127.0.0.1:8003/docs 查看接口。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使用 DEMO001 + offline 验证四个 Agent、source 和 data_status。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使用 auto 模式验证联网成功、降级和 unavailable 三种状态。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验证深度投研 interrupted 后 approve/reject、服务重启恢复和 no_trade。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运行 pytest，并查看 docs/experiments 中脱敏后的真实回放报告。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检查模拟盘仅产生本地 MockBroker 记录，没有真实订单。</w:t>
      </w:r>
    </w:p>
    <w:p>
      <w:pPr>
        <w:pStyle w:val="Heading1"/>
      </w:pPr>
      <w:r>
        <w:t>十一、后续计划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1"/>
        </w:rPr>
        <w:t>扩大真实 LLM 回放任务和多日期运行，形成可统计的 Schema、拦截、延迟和重试样本。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1"/>
        </w:rPr>
        <w:t>自然运行模拟盘至少 7-14 个真实交易日后，再决定是否满足时间证据要求。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1"/>
        </w:rPr>
        <w:t>继续采用严格样本外和多基准验证改进策略，保留原始 baseline 和公式。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1"/>
        </w:rPr>
        <w:t>生产化前补充密钥管理、用户级隔离、监控告警、备份恢复、审计保留策略和部署演练。</w:t>
      </w:r>
    </w:p>
    <w:p>
      <w:pPr>
        <w:pStyle w:val="Heading1"/>
      </w:pPr>
      <w:r>
        <w:t>十二、免责声明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本系统用于 Agent 工程、数据流程、风控和研究方法演示。证券分析结果不构成投资建议；联网数据可能延迟、缺失或受第三方接口限制；严禁把模拟盘结果当作真实收益，也不得在未完成生产安全审查前接入真实交易。</w:t>
      </w:r>
    </w:p>
    <w:sectPr w:rsidR="00FC693F" w:rsidRPr="0006063C" w:rsidSect="00034616">
      <w:pgSz w:w="12240" w:h="15840"/>
      <w:pgMar w:top="964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YaHei" w:hAnsi="Microsoft YaHe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/>
      <w:b/>
      <w:bCs/>
      <w:color w:val="2F559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/>
      <w:b/>
      <w:bCs/>
      <w:color w:val="44546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Microsoft YaHei" w:hAnsi="Microsoft YaHei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