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frontend_prototype.html；Streamlit 备用界面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Factory；AkShare/腾讯公开行情/Open-Meteo/样例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65.0%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65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86.0%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93.3%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 条预期违规中拦截 14 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77.8%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实际拦截结果中属于预期违规的比例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条正常请求中 3 条被拦截或判为结构异常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1.831 / 2.656 / 3.709s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估算费用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$0.003543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按输入 $0.14、输出 $0.28 / 百万 Token 的假设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条结果显示，当前 Harness 已能拦截大部分构造违规输出，但仍存在误报和结构错误；不能再使用 Mock 固定集的 100% 拦截率代表真实模型效果。当前只完成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1609 项收集；1608 passed，1 skipped，0 failed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2026-08-14 pytest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/>
    <w:p>
      <w:pPr>
        <w:pStyle w:val="Heading1"/>
      </w:pPr>
      <w:r>
        <w:t>十、导师验收建议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生产化前补充密钥管理、用户级隔离、监控告警、备份恢复、审计保留策略和部署演练。</w:t>
      </w:r>
    </w:p>
    <w:p>
      <w:pPr>
        <w:pStyle w:val="Heading1"/>
      </w:pPr>
      <w:r>
        <w:t>十二、免责声明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