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56F61"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项目总结文档</w:t>
      </w:r>
    </w:p>
    <w:p w14:paraId="38FCE058">
      <w:pPr>
        <w:jc w:val="center"/>
      </w:pPr>
      <w:r>
        <w:rPr>
          <w:rFonts w:ascii="微软雅黑" w:hAnsi="微软雅黑" w:eastAsia="微软雅黑"/>
          <w:b w:val="0"/>
          <w:color w:val="667085"/>
          <w:sz w:val="20"/>
        </w:rPr>
        <w:t>企业级研究型 Agent 平台项目交付材料 | 版本：2026-08-15</w:t>
      </w:r>
    </w:p>
    <w:p w14:paraId="28D10D01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5EF8FE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EAF2F8"/>
          </w:tcPr>
          <w:p w14:paraId="0686D982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执行摘要：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 w14:paraId="743D5729"/>
    <w:p w14:paraId="0C2DCD21">
      <w:pPr>
        <w:pStyle w:val="3"/>
      </w:pPr>
      <w:r>
        <w:t>一、项目目标与边界</w:t>
      </w:r>
    </w:p>
    <w:p w14:paraId="4C33395B">
      <w:r>
        <w:rPr>
          <w:rFonts w:ascii="微软雅黑" w:hAnsi="微软雅黑" w:eastAsia="微软雅黑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 w14:paraId="4D1A5265">
      <w:r>
        <w:rPr>
          <w:rFonts w:ascii="微软雅黑" w:hAnsi="微软雅黑" w:eastAsia="微软雅黑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 w14:paraId="1DA13ED6">
      <w:pPr>
        <w:pStyle w:val="3"/>
      </w:pPr>
      <w:r>
        <w:t>二、总体架构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9"/>
        <w:gridCol w:w="4211"/>
        <w:gridCol w:w="4792"/>
      </w:tblGrid>
      <w:tr w14:paraId="30D01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25D1171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层次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0C9A417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主要组件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33F870C9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</w:tr>
      <w:tr w14:paraId="61031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6C289D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展示层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F94C760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frontend_prototype.html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04D33D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 w14:paraId="79FF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9680A1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接口层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6B6BEC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FastAPI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7FEA27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 w14:paraId="7446D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0410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编排层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C960DF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80C2B85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 w14:paraId="16AE7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1065F6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Agent 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F3A6C5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2FB038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 w14:paraId="144E8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06594D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4017AE5">
            <w:r>
              <w:t>Provider Factory；AkShare/腾讯公开行情/CMA-GRAPES/Open-Meteo/样例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239A3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 w14:paraId="11DA5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FF9409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存储层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81A009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0501C2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 w14:paraId="6D4A5413"/>
    <w:p w14:paraId="0C8D1A7B">
      <w:pPr>
        <w:pStyle w:val="3"/>
      </w:pPr>
      <w:r>
        <w:t>三、核心设计范式</w:t>
      </w:r>
    </w:p>
    <w:p w14:paraId="31DCB046">
      <w:pPr>
        <w:pStyle w:val="4"/>
      </w:pPr>
      <w:r>
        <w:t>3.1 Harness：模型外部的质量控制线</w:t>
      </w:r>
    </w:p>
    <w:p w14:paraId="79B2B6E2">
      <w:r>
        <w:rPr>
          <w:rFonts w:ascii="微软雅黑" w:hAnsi="微软雅黑" w:eastAsia="微软雅黑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 w14:paraId="41131965">
      <w:pPr>
        <w:pStyle w:val="4"/>
      </w:pPr>
      <w:r>
        <w:t>3.2 Loop：让 Agent 能持续完成任务</w:t>
      </w:r>
    </w:p>
    <w:p w14:paraId="135E1655">
      <w:r>
        <w:rPr>
          <w:rFonts w:ascii="微软雅黑" w:hAnsi="微软雅黑" w:eastAsia="微软雅黑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 w14:paraId="585FCFCA">
      <w:pPr>
        <w:pStyle w:val="4"/>
      </w:pPr>
      <w:r>
        <w:t>3.3 Graph：把流程变成可审计的状态机</w:t>
      </w:r>
    </w:p>
    <w:p w14:paraId="32AED304">
      <w:r>
        <w:rPr>
          <w:rFonts w:ascii="微软雅黑" w:hAnsi="微软雅黑" w:eastAsia="微软雅黑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 w14:paraId="2AB60E90">
      <w:pPr>
        <w:pStyle w:val="3"/>
      </w:pPr>
      <w:r>
        <w:t>四、证券分析工作流</w:t>
      </w:r>
    </w:p>
    <w:p w14:paraId="11A0E0B7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接收 symbol 和 data_mode，校验输入并建立 thread_id。</w:t>
      </w:r>
    </w:p>
    <w:p w14:paraId="5C9B5B76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四个 Specialist Agent 并行或按编排策略读取行情、基本面、行业和市场状态。</w:t>
      </w:r>
    </w:p>
    <w:p w14:paraId="4D1A198F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Bull/Bear 对关键结论进行多空观点对照，Synthesis 生成结构化综合报告。</w:t>
      </w:r>
    </w:p>
    <w:p w14:paraId="058FF76D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 w14:paraId="20D6F50E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 w14:paraId="78C66BA2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所有结果写入状态和 checkpoint，API 返回 completed、interrupted、no_trade、failed 等真实状态。</w:t>
      </w:r>
    </w:p>
    <w:p w14:paraId="5D0C2D36">
      <w:pPr>
        <w:pStyle w:val="3"/>
      </w:pPr>
      <w:r>
        <w:t>五、数据真实性与降级策略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2891"/>
        <w:gridCol w:w="2381"/>
        <w:gridCol w:w="2494"/>
      </w:tblGrid>
      <w:tr w14:paraId="0FCD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6B0400E7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模式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54159E42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2D1A47AD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允许的表述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03787A16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限制</w:t>
            </w:r>
          </w:p>
        </w:tc>
      </w:tr>
      <w:tr w14:paraId="33A66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987583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offline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450CA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42CB1CE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2B7D91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不代表实时行情</w:t>
            </w:r>
          </w:p>
        </w:tc>
      </w:tr>
      <w:tr w14:paraId="42686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96C3A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BE82BE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3F7E53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C6FE67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 w14:paraId="1026A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480892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fallback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C66B08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41C131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01D9DF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不能把降级结果标为实时</w:t>
            </w:r>
          </w:p>
        </w:tc>
      </w:tr>
      <w:tr w14:paraId="426C2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16CBDE5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D99FA8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D11C6E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C1BCF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 w14:paraId="0CD315F3"/>
    <w:p w14:paraId="36753598">
      <w:r>
        <w:rPr>
          <w:rFonts w:ascii="微软雅黑" w:hAnsi="微软雅黑" w:eastAsia="微软雅黑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中明确区分。证券接口校验六位 A 股代码与数据源返回标的一致性，不存在的代码明确拒绝。中国境内天气预报优先使用 CMA-GRAPES，超出时效后由 Open-Meteo Best Match 补全，并逐日记录模型来源；省级区域必须继续选择具体城市。</w:t>
      </w:r>
    </w:p>
    <w:p w14:paraId="7E30925E">
      <w:pPr>
        <w:pStyle w:val="3"/>
      </w:pPr>
      <w:r>
        <w:t>六、模拟盘与安全边界</w:t>
      </w:r>
    </w:p>
    <w:p w14:paraId="1CBAAD54">
      <w:r>
        <w:rPr>
          <w:rFonts w:ascii="微软雅黑" w:hAnsi="微软雅黑" w:eastAsia="微软雅黑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 w14:paraId="6DA4D53F">
      <w:pPr>
        <w:pStyle w:val="3"/>
      </w:pPr>
      <w:r>
        <w:t>七、真实 DeepSeek Harness 回放证据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7996B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FFF2CC"/>
          </w:tcPr>
          <w:p w14:paraId="176F24E6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证据边界：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 w14:paraId="13B986E1"/>
    <w:p w14:paraId="3C9ACF3F">
      <w:pPr>
        <w:pStyle w:val="4"/>
      </w:pPr>
      <w:r>
        <w:t>7.1 100 条真实结果</w:t>
      </w:r>
    </w:p>
    <w:p w14:paraId="2915F000">
      <w:r>
        <w:rPr>
          <w:rFonts w:ascii="微软雅黑" w:hAnsi="微软雅黑" w:eastAsia="微软雅黑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4535"/>
      </w:tblGrid>
      <w:tr w14:paraId="240CB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FBAF52A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BE7D16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实测值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F4FBC85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 w14:paraId="2B380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4E8F5E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样本数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0A31C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5F58E9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 w14:paraId="1F36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E028D2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B493400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67.0%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26D7D6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 w14:paraId="61BF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45C9C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8CD540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91.0%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62CECA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 w14:paraId="00D11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FBE91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C56A0D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65406C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 w14:paraId="67E67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72B58C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E866DB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93.75%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028604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 w14:paraId="44342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3D5A7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101A3A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FF35DA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条正常请求没有被错误拦截</w:t>
            </w:r>
          </w:p>
        </w:tc>
      </w:tr>
      <w:tr w14:paraId="3D004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CEEF11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8E6F3A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11.0%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E3BCF8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输入风险检测命中的比例</w:t>
            </w:r>
          </w:p>
        </w:tc>
      </w:tr>
      <w:tr w14:paraId="32123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CA88C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D880DF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0/40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63EAF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 w14:paraId="4D968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D05CA0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6D5DBD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2953D7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 w14:paraId="26A1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D69564E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E675A7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D19140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真实调用延迟分布</w:t>
            </w:r>
          </w:p>
        </w:tc>
      </w:tr>
    </w:tbl>
    <w:p w14:paraId="3D7D2A2F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09F87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FCE4D6"/>
          </w:tcPr>
          <w:p w14:paraId="42E0D09E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真实结论：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 w14:paraId="0B3B976D"/>
    <w:p w14:paraId="30459EA4">
      <w:r>
        <w:rPr>
          <w:rFonts w:ascii="微软雅黑" w:hAnsi="微软雅黑" w:eastAsia="微软雅黑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 w14:paraId="0C7E3C28">
      <w:r>
        <w:rPr>
          <w:rFonts w:ascii="微软雅黑" w:hAnsi="微软雅黑" w:eastAsia="微软雅黑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 w14:paraId="79CB4C7C">
      <w:pPr>
        <w:pStyle w:val="3"/>
      </w:pPr>
      <w:r>
        <w:t>八、回测与未达标项</w:t>
      </w:r>
    </w:p>
    <w:p w14:paraId="02275C2B">
      <w:r>
        <w:rPr>
          <w:rFonts w:ascii="微软雅黑" w:hAnsi="微软雅黑" w:eastAsia="微软雅黑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 w14:paraId="5E7BDCC1">
      <w:pPr>
        <w:pStyle w:val="3"/>
      </w:pPr>
      <w:r>
        <w:t>九、质量验证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3969"/>
      </w:tblGrid>
      <w:tr w14:paraId="37418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2EFB28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门禁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47A00C6B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结果/状态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5715E51A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证据</w:t>
            </w:r>
          </w:p>
        </w:tc>
      </w:tr>
      <w:tr w14:paraId="1A569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38E94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DF233A">
            <w:r>
              <w:t>1667 项收集；1666 passed，1 skipped，0 failed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37D33D2">
            <w:r>
              <w:t>2026-08-15 pytest</w:t>
            </w:r>
          </w:p>
        </w:tc>
      </w:tr>
      <w:tr w14:paraId="6A41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CC95E6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3E32E9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1C4FEC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命令输出</w:t>
            </w:r>
          </w:p>
        </w:tc>
      </w:tr>
      <w:tr w14:paraId="6BEB5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4626EE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12B6E3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已通过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75D1DC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Scripts/check_frontend_syntax.js</w:t>
            </w:r>
          </w:p>
        </w:tc>
      </w:tr>
      <w:tr w14:paraId="06463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0CE9B3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C030E6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3A4EA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.env 与报告审计</w:t>
            </w:r>
          </w:p>
        </w:tc>
      </w:tr>
      <w:tr w14:paraId="4604E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AD7A28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B3C7E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未连接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208D2E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 w14:paraId="62458AA6">
      <w:r>
        <w:t>可观测性页面展示调用明细、延迟、字符量、成功率、Guardrail 和重试指标。图表按 Agent 汇总平均值，使用简短中文标签；空间不足时标签自动倾斜并保留悬停完整名称，避免重复英文名称互相遮挡。</w:t>
      </w:r>
    </w:p>
    <w:p w14:paraId="058784BD">
      <w:pPr>
        <w:pStyle w:val="3"/>
      </w:pPr>
      <w:r>
        <w:t>十、后续计划</w:t>
      </w:r>
    </w:p>
    <w:p w14:paraId="4E9636B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扩大真实 LLM 回放任务和多日期运行，形成可统计的 Schema、拦截、延迟和重试样本。</w:t>
      </w:r>
    </w:p>
    <w:p w14:paraId="5A67060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自然运行模拟盘至少 7-14 个真实交易日后，再决定是否满足时间证据要求。</w:t>
      </w:r>
    </w:p>
    <w:p w14:paraId="7E8DA1D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继续采用严格样本外和多基准验证改进策略，保留原始 baseline 和公式。</w:t>
      </w:r>
    </w:p>
    <w:p w14:paraId="104CD1D9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需要多主机扩容时迁移 PostgreSQL、Redis 分布式限流、集中式密钥管理和独立调度 worker。</w:t>
      </w:r>
    </w:p>
    <w:p w14:paraId="32FBD439">
      <w:pPr>
        <w:pStyle w:val="3"/>
      </w:pPr>
      <w:r>
        <w:t>十</w:t>
      </w:r>
      <w:r>
        <w:rPr>
          <w:rFonts w:hint="eastAsia" w:eastAsia="宋体"/>
          <w:lang w:val="en-US" w:eastAsia="zh-CN"/>
        </w:rPr>
        <w:t>一</w:t>
      </w:r>
      <w:r>
        <w:t>、交付与服务器更新</w:t>
      </w:r>
      <w:bookmarkStart w:id="0" w:name="_GoBack"/>
      <w:bookmarkEnd w:id="0"/>
    </w:p>
    <w:p w14:paraId="5D840440">
      <w:r>
        <w:rPr>
          <w:rFonts w:ascii="微软雅黑" w:hAnsi="微软雅黑" w:eastAsia="微软雅黑"/>
          <w:b w:val="0"/>
          <w:color w:val="000000"/>
          <w:sz w:val="21"/>
        </w:rPr>
        <w:t>当前交付只保留一套 FastAPI 后端和一个 HTML 主前端。Rule、Skill、Workflow、MCP、SubAgents、tests 和实验原始证据属于任务书验收内容；本机 .env、.venv、SQLite、日志、缓存和压缩包不进入 Git 或服务器源代码包。损坏重复部署文档、协作日志、旧冒烟报告和废弃 final 报告别名已清理。</w:t>
      </w:r>
    </w:p>
    <w:p w14:paraId="0704D9F7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完成测试后提交 Git，再用 git archive --format=zip --output agent-platform.zip HEAD 生成干净部署包。</w:t>
      </w:r>
    </w:p>
    <w:p w14:paraId="40B3FF35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首次部署把压缩包上传到服务器 /tmp，解压后执行 deploy/install_demo.sh。</w:t>
      </w:r>
    </w:p>
    <w:p w14:paraId="0B38F742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更新已有服务器前先运行 sudo agent-platform-backup，再将新版解压到新的 /tmp 目录。</w:t>
      </w:r>
    </w:p>
    <w:p w14:paraId="6F0F9C79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使用与首次部署相同的 IP 或域名参数再次执行安装脚本；脚本保留 .env.production 和 data/。</w:t>
      </w:r>
    </w:p>
    <w:p w14:paraId="5376A6C9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更新后检查 docker compose ps、/health、/ready 和容器日志，再验证登录、样例分析与 MockBroker。2026-08-15 已在 Ubuntu 服务器完成该流程实测：容器 healthy，健康与就绪接口正常，Nginx 页面可访问，更新保留 .env.production、账号和业务数据库。</w:t>
      </w:r>
    </w:p>
    <w:p w14:paraId="1BE9B7A0">
      <w:pPr>
        <w:pStyle w:val="3"/>
      </w:pPr>
      <w:r>
        <w:t>十三、免责声明</w:t>
      </w:r>
    </w:p>
    <w:p w14:paraId="57F8CFCC">
      <w:r>
        <w:rPr>
          <w:rFonts w:ascii="微软雅黑" w:hAnsi="微软雅黑" w:eastAsia="微软雅黑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>
      <w:pgSz w:w="12240" w:h="15840"/>
      <w:pgMar w:top="964" w:right="1077" w:bottom="907" w:left="107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3D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3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F5597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44546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240" w:after="12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3076</Words>
  <Characters>4607</Characters>
  <Lines>0</Lines>
  <Paragraphs>0</Paragraphs>
  <TotalTime>1</TotalTime>
  <ScaleCrop>false</ScaleCrop>
  <LinksUpToDate>false</LinksUpToDate>
  <CharactersWithSpaces>4870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撒•野</cp:lastModifiedBy>
  <dcterms:modified xsi:type="dcterms:W3CDTF">2026-08-17T02:19:32Z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eyJoZGlkIjoiMzIzNDYxYzM4NjNiZDNjNTIzYTY2OTViMWU1MGM4M2YiLCJ1c2VySWQiOiIxMzM1MDg5NTEyIn0=</vt:lpwstr>
  </property>
  <property fmtid="{D5CDD505-2E9C-101B-9397-08002B2CF9AE}" pid="3" name="KSOProductBuildVer">
    <vt:lpwstr>2052-12.1.0.28043</vt:lpwstr>
  </property>
  <property fmtid="{D5CDD505-2E9C-101B-9397-08002B2CF9AE}" pid="4" name="ICV">
    <vt:lpwstr>61BABDEEE8BA4C82B19CDDFAD86B650B_12</vt:lpwstr>
  </property>
</Properties>
</file>