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项目总结文档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  <w:sz w:val="20"/>
        </w:rPr>
        <w:t>企业级研究型 Agent 平台项目交付材料 | 版本：2026-08-14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  <w:insideH w:val="single" w:sz="4" w:color="9FBAD0"/>
              <w:insideV w:val="single" w:sz="4" w:color="9FBAD0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执行摘要：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本项目实现了一个以 Harness、Loop、Graph 为核心范式的通用 Agent 平台，并落地证券金融分析、天气分析、模拟盘和真实 LLM 回放实验。当前交付物是可运行的研究级工程原型，不是连接真实券商的生产交易系统。</w:t>
            </w:r>
          </w:p>
        </w:tc>
      </w:tr>
    </w:tbl>
    <w:p/>
    <w:p>
      <w:pPr>
        <w:pStyle w:val="Heading1"/>
      </w:pPr>
      <w:r>
        <w:t>一、项目目标与边界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项目目标是把“模型调用”升级为可审计、可恢复、可测试的 Agent 应用：系统能够接收用户任务，调用工具取得数据，由多个专业 Agent 分析，再经过结构化校验、来源校验、风险控制和人工审批，最终返回研究结果。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边界必须明确：系统只生成研究建议和模拟交易结果；MockBroker 不连接券商、不提交真实订单；真实行情和天气属于外部网络依赖；回测指标如 Sharpe 未达标时按事实记录，不通过修改公式或样本伪造达标。</w:t>
      </w:r>
    </w:p>
    <w:p>
      <w:pPr>
        <w:pStyle w:val="Heading1"/>
      </w:pPr>
      <w:r>
        <w:t>二、总体架构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304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2948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主要组件</w:t>
            </w:r>
          </w:p>
        </w:tc>
        <w:tc>
          <w:tcPr>
            <w:tcW w:type="dxa" w:w="4819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30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展示层</w:t>
            </w:r>
          </w:p>
        </w:tc>
        <w:tc>
          <w:tcPr>
            <w:tcW w:type="dxa" w:w="294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frontend_prototype.html</w:t>
            </w:r>
          </w:p>
        </w:tc>
        <w:tc>
          <w:tcPr>
            <w:tcW w:type="dxa" w:w="481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登录、行情、证券分析、深度投研、天气、模拟盘和状态展示</w:t>
            </w:r>
          </w:p>
        </w:tc>
      </w:tr>
      <w:tr>
        <w:tc>
          <w:tcPr>
            <w:tcW w:type="dxa" w:w="130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接口层</w:t>
            </w:r>
          </w:p>
        </w:tc>
        <w:tc>
          <w:tcPr>
            <w:tcW w:type="dxa" w:w="294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FastAPI</w:t>
            </w:r>
          </w:p>
        </w:tc>
        <w:tc>
          <w:tcPr>
            <w:tcW w:type="dxa" w:w="481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 路由、鉴权、参数校验、统一错误响应、研究任务和状态查询</w:t>
            </w:r>
          </w:p>
        </w:tc>
      </w:tr>
      <w:tr>
        <w:tc>
          <w:tcPr>
            <w:tcW w:type="dxa" w:w="130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编排层</w:t>
            </w:r>
          </w:p>
        </w:tc>
        <w:tc>
          <w:tcPr>
            <w:tcW w:type="dxa" w:w="294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LangGraph 1.x；SQLite Checkpoint</w:t>
            </w:r>
          </w:p>
        </w:tc>
        <w:tc>
          <w:tcPr>
            <w:tcW w:type="dxa" w:w="481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节点、条件路由、中断、恢复、审批和任务状态持久化</w:t>
            </w:r>
          </w:p>
        </w:tc>
      </w:tr>
      <w:tr>
        <w:tc>
          <w:tcPr>
            <w:tcW w:type="dxa" w:w="130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Agent 层</w:t>
            </w:r>
          </w:p>
        </w:tc>
        <w:tc>
          <w:tcPr>
            <w:tcW w:type="dxa" w:w="294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Technical/Fundamental/Industry/Regime/Bull-Bear/Synthesis/Trader/Risk</w:t>
            </w:r>
          </w:p>
        </w:tc>
        <w:tc>
          <w:tcPr>
            <w:tcW w:type="dxa" w:w="481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分工分析、综合判断、交易建议和风险拦截</w:t>
            </w:r>
          </w:p>
        </w:tc>
      </w:tr>
      <w:tr>
        <w:tc>
          <w:tcPr>
            <w:tcW w:type="dxa" w:w="130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数据层</w:t>
            </w:r>
          </w:p>
        </w:tc>
        <w:tc>
          <w:tcPr>
            <w:tcW w:type="dxa" w:w="294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Provider Factory；AkShare/腾讯公开行情/Open-Meteo/样例</w:t>
            </w:r>
          </w:p>
        </w:tc>
        <w:tc>
          <w:tcPr>
            <w:tcW w:type="dxa" w:w="481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按模式读取数据，记录 source、data_status、updated_at，并支持受控降级</w:t>
            </w:r>
          </w:p>
        </w:tc>
      </w:tr>
      <w:tr>
        <w:tc>
          <w:tcPr>
            <w:tcW w:type="dxa" w:w="130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存储层</w:t>
            </w:r>
          </w:p>
        </w:tc>
        <w:tc>
          <w:tcPr>
            <w:tcW w:type="dxa" w:w="294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SQLite store、用户表、会话、checkpoint、模拟盘记录</w:t>
            </w:r>
          </w:p>
        </w:tc>
        <w:tc>
          <w:tcPr>
            <w:tcW w:type="dxa" w:w="481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身份、历史、任务恢复和审计数据</w:t>
            </w:r>
          </w:p>
        </w:tc>
      </w:tr>
    </w:tbl>
    <w:p/>
    <w:p>
      <w:pPr>
        <w:pStyle w:val="Heading1"/>
      </w:pPr>
      <w:r>
        <w:t>三、核心设计范式</w:t>
      </w:r>
    </w:p>
    <w:p>
      <w:pPr>
        <w:pStyle w:val="Heading2"/>
      </w:pPr>
      <w:r>
        <w:t>3.1 Harness：模型外部的质量控制线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Harness 不是模型本身，而是包围模型调用的工程控制层。它统一处理输入、Provider、输出解析、Schema 校验、Guardrail、重试、日志和指标。这样模型输出不再直接进入交易建议流程。</w:t>
      </w:r>
    </w:p>
    <w:p>
      <w:pPr>
        <w:pStyle w:val="Heading2"/>
      </w:pPr>
      <w:r>
        <w:t>3.2 Loop：让 Agent 能持续完成任务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Loop 由规划、工具调用、观察结果、反思判断和继续或结束五个要素组成。每轮循环都有状态，遇到工具失败可以重试，遇到风险或需要人决定时可以停止。</w:t>
      </w:r>
    </w:p>
    <w:p>
      <w:pPr>
        <w:pStyle w:val="Heading2"/>
      </w:pPr>
      <w:r>
        <w:t>3.3 Graph：把流程变成可审计的状态机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证券深度投研使用 LangGraph 节点和条件边表达流程。图中节点负责单一动作，条件边根据 status、置信度和风险结果选择下一步；interrupt 将流程暂停并等待 approve/reject；SQLite checkpoint 使服务重启后仍能恢复。</w:t>
      </w:r>
    </w:p>
    <w:p>
      <w:pPr>
        <w:pStyle w:val="Heading1"/>
      </w:pPr>
      <w:r>
        <w:t>四、证券分析工作流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接收 symbol 和 data_mode，校验输入并建立 thread_id。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四个 Specialist Agent 并行或按编排策略读取行情、基本面、行业和市场状态。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Bull/Bear 对关键结论进行多空观点对照，Synthesis 生成结构化综合报告。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Trader 生成参考价、止损价、交易信号和建议仓位；Risk Manager 按止损距离计算单笔账户风险并限制在 2% 内。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需要人工决策时触发 human approval；批准后执行模拟动作，拒绝则进入 block；置信度不足进入 no_trade。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所有结果写入状态和 checkpoint，API 返回 completed、interrupted、no_trade、failed 等真实状态。</w:t>
      </w:r>
    </w:p>
    <w:p>
      <w:pPr>
        <w:pStyle w:val="Heading1"/>
      </w:pPr>
      <w:r>
        <w:t>五、数据真实性与降级策略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304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891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2381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允许的表述</w:t>
            </w:r>
          </w:p>
        </w:tc>
        <w:tc>
          <w:tcPr>
            <w:tcW w:type="dxa" w:w="2494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限制</w:t>
            </w:r>
          </w:p>
        </w:tc>
      </w:tr>
      <w:tr>
        <w:tc>
          <w:tcPr>
            <w:tcW w:type="dxa" w:w="130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offline</w:t>
            </w:r>
          </w:p>
        </w:tc>
        <w:tc>
          <w:tcPr>
            <w:tcW w:type="dxa" w:w="289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SampleMarketDataProvider / offline_sample_data.py</w:t>
            </w:r>
          </w:p>
        </w:tc>
        <w:tc>
          <w:tcPr>
            <w:tcW w:type="dxa" w:w="238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内置样例数据</w:t>
            </w:r>
          </w:p>
        </w:tc>
        <w:tc>
          <w:tcPr>
            <w:tcW w:type="dxa" w:w="249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不代表实时行情</w:t>
            </w:r>
          </w:p>
        </w:tc>
      </w:tr>
      <w:tr>
        <w:tc>
          <w:tcPr>
            <w:tcW w:type="dxa" w:w="130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auto/联网</w:t>
            </w:r>
          </w:p>
        </w:tc>
        <w:tc>
          <w:tcPr>
            <w:tcW w:type="dxa" w:w="289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Provider Factory 选择 AkShare、腾讯公开接口等</w:t>
            </w:r>
          </w:p>
        </w:tc>
        <w:tc>
          <w:tcPr>
            <w:tcW w:type="dxa" w:w="238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联网行情/公开接口返回</w:t>
            </w:r>
          </w:p>
        </w:tc>
        <w:tc>
          <w:tcPr>
            <w:tcW w:type="dxa" w:w="249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依赖网络、接口可用性和交易时段</w:t>
            </w:r>
          </w:p>
        </w:tc>
      </w:tr>
      <w:tr>
        <w:tc>
          <w:tcPr>
            <w:tcW w:type="dxa" w:w="130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fallback</w:t>
            </w:r>
          </w:p>
        </w:tc>
        <w:tc>
          <w:tcPr>
            <w:tcW w:type="dxa" w:w="289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主数据源失败后受控切换</w:t>
            </w:r>
          </w:p>
        </w:tc>
        <w:tc>
          <w:tcPr>
            <w:tcW w:type="dxa" w:w="238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降级数据，并记录 fallback_reason</w:t>
            </w:r>
          </w:p>
        </w:tc>
        <w:tc>
          <w:tcPr>
            <w:tcW w:type="dxa" w:w="249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不能把降级结果标为实时</w:t>
            </w:r>
          </w:p>
        </w:tc>
      </w:tr>
      <w:tr>
        <w:tc>
          <w:tcPr>
            <w:tcW w:type="dxa" w:w="130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unavailable</w:t>
            </w:r>
          </w:p>
        </w:tc>
        <w:tc>
          <w:tcPr>
            <w:tcW w:type="dxa" w:w="289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无法取得或校验失败</w:t>
            </w:r>
          </w:p>
        </w:tc>
        <w:tc>
          <w:tcPr>
            <w:tcW w:type="dxa" w:w="238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数据不可用</w:t>
            </w:r>
          </w:p>
        </w:tc>
        <w:tc>
          <w:tcPr>
            <w:tcW w:type="dxa" w:w="249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应停止相关分析，不静默填零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每个关键结果应包含 source、data_status、updated_at；价格、昨收、交易时间和交易日范围进行一致性校验。真实数据和样例数据在前端徽标、报告和 API 中明确区分。</w:t>
      </w:r>
    </w:p>
    <w:p>
      <w:pPr>
        <w:pStyle w:val="Heading1"/>
      </w:pPr>
      <w:r>
        <w:t>六、模拟盘与安全边界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模拟盘使用 MockBroker 和本地 SQLite 记录现金、持仓、订单、成交、净值和异常。它用于验证订单状态机、幂等、恢复和前端交互，不等价于真实交易。2026-08-14 已记录首个有效真实交易日：000001 和 600519 均为腾讯公开 live 行情且无降级，当前为 1/7；其余天数必须由自然时间积累。</w:t>
      </w:r>
    </w:p>
    <w:p>
      <w:pPr>
        <w:pStyle w:val="Heading1"/>
      </w:pPr>
      <w:r>
        <w:t>七、真实 DeepSeek Harness 回放证据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2CC"/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  <w:insideH w:val="single" w:sz="4" w:color="9FBAD0"/>
              <w:insideV w:val="single" w:sz="4" w:color="9FBAD0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证据边界：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真实回放属于固定离线评测，不等于生产用户流量。Mock 固定集的 100% 拦截结果不能替代真实模型指标。</w:t>
            </w:r>
          </w:p>
        </w:tc>
      </w:tr>
    </w:tbl>
    <w:p/>
    <w:p>
      <w:pPr>
        <w:pStyle w:val="Heading2"/>
      </w:pPr>
      <w:r>
        <w:t>7.1 100 条真实结果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2026-08-14 使用固定人工标注评测集 enterprise_harness_100_v1 执行了 100 条真实 DeepSeek 回放。每条任务只调用模型一次，再对同一响应执行 OFF/ON 对照。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实测值</w:t>
            </w:r>
          </w:p>
        </w:tc>
        <w:tc>
          <w:tcPr>
            <w:tcW w:type="dxa" w:w="4535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样本数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 正常、20 缺字段、15 违规、10 注入、10 数据风险、5 格式异常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Schema 合格率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67.0%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 条中 67 条通过 OFF 结构检查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标签匹配率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91.0%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实际结果与人工预期类别一致的比例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违规拦截召回率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预期违规样本全部被识别并拦截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违规拦截精确率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93.75%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实际违规拦截中属于预期违规的比例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正常请求误报率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0%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 条正常请求没有被错误拦截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人工审核率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11.0%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输入风险检测命中的比例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固定事实错误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0/40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 条携带事实快照的正常任务未观测到事实篡改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无效下游动作资格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OFF 60 -&gt; ON 0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Harness 阻止结构或合规不合格结果进入下游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P50/P95/P99</w:t>
            </w:r>
          </w:p>
        </w:tc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2.144 / 2.821 / 5.002 秒</w:t>
            </w:r>
          </w:p>
        </w:tc>
        <w:tc>
          <w:tcPr>
            <w:tcW w:type="dxa" w:w="45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真实调用延迟分布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  <w:insideH w:val="single" w:sz="4" w:color="9FBAD0"/>
              <w:insideV w:val="single" w:sz="4" w:color="9FBAD0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真实结论：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真实模型的 100 条结果显示，本轮违规拦截召回率为 100%、正常误报率为 0%，但仍有 33% 的输出未通过结构检查。40 条事实核验样本未观测到事实错误，因此事实错误阻断率没有有效分母，应记为 N/A，不能声称已证明真实幻觉率为零。当前只完成 1 个自然日，7 天证据状态仍为 collecting。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000000"/>
          <w:sz w:val="21"/>
        </w:rPr>
        <w:t>新版评测集给正常任务附带固定事实快照，并保存脱敏后的结构化输出逐字段核验；只有完成核验的样本才进入幻觉率分母。同时统计 Harness OFF/ON 下输出是否有资格触发下游动作，以计算被阻止的无效调用。该统计不执行真实交易或业务 API。旧报告缺少这些字段，不能倒推新指标。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结构化输出兼容性补充：deepseek-chat 在本环境对 response_format 请求出现 HTTP 400，因此系统不会强行启用 JSON Mode；deepseek-v4-flash 的 3 条冒烟测试可正常返回 JSON，但 P95 延迟约 11.08 秒。系统现在按模型能力自动选择，优先保证兼容性，不把协议错误伪装成模型质量指标。</w:t>
      </w:r>
    </w:p>
    <w:p>
      <w:pPr>
        <w:pStyle w:val="Heading1"/>
      </w:pPr>
      <w:r>
        <w:t>八、回测与未达标项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回测保留原 Sharpe 公式、年化方式、无风险利率、0.5 阈值和 MA baseline。当前已完成成本、滑点、印花税、连续仓位、Walk-forward、样本外对比和基准收益记录，但策略研究结果仍未稳定达到 Sharpe 0.5。正式基线多因子样本外均值约为 -0.337；本轮预先定义的稳健选参挑战方案实测为 -0.499，未带来改善，因此没有替换正式基线。</w:t>
      </w:r>
    </w:p>
    <w:p>
      <w:pPr>
        <w:pStyle w:val="Heading1"/>
      </w:pPr>
      <w:r>
        <w:t>九、质量验证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门禁</w:t>
            </w:r>
          </w:p>
        </w:tc>
        <w:tc>
          <w:tcPr>
            <w:tcW w:type="dxa" w:w="2835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结果/状态</w:t>
            </w:r>
          </w:p>
        </w:tc>
        <w:tc>
          <w:tcPr>
            <w:tcW w:type="dxa" w:w="3969"/>
            <w:shd w:fill="1F4E7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单元与集成测试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1658 项收集；1657 passed，1 skipped，0 failed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2026-08-14 pytest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静态检查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pyflakes、compileall 已通过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命令输出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前端语法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已通过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Scripts/check_frontend_syntax.js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敏感信息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API Key 不写入代码、文档、日志或 Git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.env 与报告审计</w:t>
            </w:r>
          </w:p>
        </w:tc>
      </w:tr>
      <w:tr>
        <w:tc>
          <w:tcPr>
            <w:tcW w:type="dxa" w:w="226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真实券商</w:t>
            </w:r>
          </w:p>
        </w:tc>
        <w:tc>
          <w:tcPr>
            <w:tcW w:type="dxa" w:w="283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未连接</w:t>
            </w:r>
          </w:p>
        </w:tc>
        <w:tc>
          <w:tcPr>
            <w:tcW w:type="dxa" w:w="396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  <w:insideH w:val="single" w:sz="4" w:color="B7C9D6"/>
              <w:insideV w:val="single" w:sz="4" w:color="B7C9D6"/>
            </w:tcBorders>
            <w:shd w:fill="FFFFFF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MockBroker 与 AST/集成测试</w:t>
            </w:r>
          </w:p>
        </w:tc>
      </w:tr>
    </w:tbl>
    <w:p/>
    <w:p>
      <w:pPr>
        <w:pStyle w:val="Heading1"/>
      </w:pPr>
      <w:r>
        <w:t>十、导师验收建议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复制 .env.example 为 .env，保持 LLM_PROVIDER=mock，先验证离线流程。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启动 FastAPI，打开 http://127.0.0.1:8003/docs 查看接口。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使用 DEMO001 + offline 验证四个 Agent、source 和 data_status。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使用 auto 模式验证联网成功、降级和 unavailable 三种状态。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验证深度投研 interrupted 后 approve/reject、服务重启恢复和 no_trade。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运行 pytest，并查看 docs/experiments 中脱敏后的真实回放报告。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检查模拟盘仅产生本地 MockBroker 记录，没有真实订单。</w:t>
      </w:r>
    </w:p>
    <w:p>
      <w:pPr>
        <w:pStyle w:val="Heading1"/>
      </w:pPr>
      <w:r>
        <w:t>十一、后续计划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扩大真实 LLM 回放任务和多日期运行，形成可统计的 Schema、拦截、延迟和重试样本。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自然运行模拟盘至少 7-14 个真实交易日后，再决定是否满足时间证据要求。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继续采用严格样本外和多基准验证改进策略，保留原始 baseline 和公式。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需要多主机扩容时迁移 PostgreSQL、Redis 分布式限流、集中式密钥管理和独立调度 worker。</w:t>
      </w:r>
    </w:p>
    <w:p>
      <w:pPr>
        <w:pStyle w:val="Heading1"/>
      </w:pPr>
      <w:r>
        <w:t>十二、交付与服务器更新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当前交付只保留一套 FastAPI 后端和一个 HTML 主前端。Rule、Skill、Workflow、MCP、SubAgents、tests 和实验原始证据属于任务书验收内容；本机 .env、.venv、SQLite、日志、缓存和压缩包不进入 Git 或服务器源代码包。损坏重复部署文档、协作日志、旧冒烟报告和废弃 final 报告别名已清理。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完成测试后提交 Git，再用 git archive --format=zip --output agent-platform.zip HEAD 生成干净部署包。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首次部署把压缩包上传到服务器 /tmp，解压后执行 deploy/install_demo.sh。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更新已有服务器前先运行 sudo agent-platform-backup，再将新版解压到新的 /tmp 目录。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使用与首次部署相同的 IP 或域名参数再次执行安装脚本；脚本保留 .env.production 和 data/。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color w:val="000000"/>
          <w:sz w:val="21"/>
        </w:rPr>
        <w:t>更新后检查 docker compose ps、/health、/ready 和容器日志，再验证登录、样例分析与 MockBroker。</w:t>
      </w:r>
    </w:p>
    <w:p>
      <w:pPr>
        <w:pStyle w:val="Heading1"/>
      </w:pPr>
      <w:r>
        <w:t>十三、免责声明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本系统用于 Agent 工程、数据流程、风控和研究方法演示。证券分析结果不构成投资建议；联网数据可能延迟、缺失或受第三方接口限制；严禁把模拟盘结果当作真实收益，也不得在未完成生产安全审查前接入真实交易。</w:t>
      </w:r>
    </w:p>
    <w:sectPr w:rsidR="00FC693F" w:rsidRPr="0006063C" w:rsidSect="00034616"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