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356F61">
      <w:pPr>
        <w:spacing w:after="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项目总结文档</w:t>
      </w:r>
    </w:p>
    <w:p w14:paraId="38FCE058">
      <w:pPr>
        <w:jc w:val="center"/>
      </w:pPr>
      <w:r>
        <w:rPr>
          <w:rFonts w:ascii="微软雅黑" w:hAnsi="微软雅黑" w:eastAsia="微软雅黑"/>
          <w:b w:val="0"/>
          <w:color w:val="667085"/>
          <w:sz w:val="20"/>
        </w:rPr>
        <w:t>企业级研究型 Agent 平台项目交付材料 | 版本：2026-08-15</w:t>
      </w:r>
    </w:p>
    <w:p w14:paraId="28D10D01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5EF8FE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EAF2F8"/>
          </w:tcPr>
          <w:p w14:paraId="0686D982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执行摘要：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本项目实现了一个以 Harness、Loop、Graph 为核心范式的通用 Agent 平台，并落地证券金融分析、天气分析、模拟盘和真实 LLM 回放实验。当前交付物是可运行的研究级工程原型，不是连接真实券商的生产交易系统。</w:t>
            </w:r>
          </w:p>
        </w:tc>
      </w:tr>
    </w:tbl>
    <w:p w14:paraId="743D5729"/>
    <w:p w14:paraId="0C2DCD21">
      <w:pPr>
        <w:pStyle w:val="3"/>
      </w:pPr>
      <w:r>
        <w:t>一、项目目标与边界</w:t>
      </w:r>
    </w:p>
    <w:p w14:paraId="4C33395B">
      <w:r>
        <w:rPr>
          <w:rFonts w:ascii="微软雅黑" w:hAnsi="微软雅黑" w:eastAsia="微软雅黑"/>
          <w:b w:val="0"/>
          <w:color w:val="000000"/>
          <w:sz w:val="21"/>
        </w:rPr>
        <w:t>项目目标是把“模型调用”升级为可审计、可恢复、可测试的 Agent 应用：系统能够接收用户任务，调用工具取得数据，由多个专业 Agent 分析，再经过结构化校验、来源校验、风险控制和人工审批，最终返回研究结果。</w:t>
      </w:r>
    </w:p>
    <w:p w14:paraId="4D1A5265">
      <w:r>
        <w:rPr>
          <w:rFonts w:ascii="微软雅黑" w:hAnsi="微软雅黑" w:eastAsia="微软雅黑"/>
          <w:b w:val="0"/>
          <w:color w:val="000000"/>
          <w:sz w:val="21"/>
        </w:rPr>
        <w:t>边界必须明确：系统只生成研究建议和模拟交易结果；MockBroker 不连接券商、不提交真实订单；真实行情和天气属于外部网络依赖；回测指标如 Sharpe 未达标时按事实记录，不通过修改公式或样本伪造达标。</w:t>
      </w:r>
    </w:p>
    <w:p w14:paraId="1DA13ED6">
      <w:pPr>
        <w:pStyle w:val="3"/>
      </w:pPr>
      <w:r>
        <w:t>二、总体架构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9"/>
        <w:gridCol w:w="4211"/>
        <w:gridCol w:w="4792"/>
      </w:tblGrid>
      <w:tr w14:paraId="30D01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25D1171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层次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0C9A417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主要组件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33F870C9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</w:tr>
      <w:tr w14:paraId="61031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6C289D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展示层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F94C760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frontend_prototype.html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04D33D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登录、行情、证券分析、深度投研、天气、模拟盘和状态展示</w:t>
            </w:r>
          </w:p>
        </w:tc>
      </w:tr>
      <w:tr w14:paraId="79FF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9680A1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接口层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6B6BEC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FastAPI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7FEA27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HTTP 路由、鉴权、参数校验、统一错误响应、研究任务和状态查询</w:t>
            </w:r>
          </w:p>
        </w:tc>
      </w:tr>
      <w:tr w14:paraId="7446D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0410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编排层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C960DF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LangGraph 1.x；SQLite Checkpoint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80C2B85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节点、条件路由、中断、恢复、审批和任务状态持久化</w:t>
            </w:r>
          </w:p>
        </w:tc>
      </w:tr>
      <w:tr w14:paraId="16AE72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1065F6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Agent 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F3A6C5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Technical/Fundamental/Industry/Regime/Bull-Bear/Synthesis/Trader/Risk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2FB038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分工分析、综合判断、交易建议和风险拦截</w:t>
            </w:r>
          </w:p>
        </w:tc>
      </w:tr>
      <w:tr w14:paraId="144E8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06594D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4017AE5">
            <w:r>
              <w:t>Provider Factory；AkShare/腾讯公开行情/CMA-GRAPES/Open-Meteo/样例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239A3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按模式读取数据，记录 source、data_status、updated_at，并支持受控降级</w:t>
            </w:r>
          </w:p>
        </w:tc>
      </w:tr>
      <w:tr w14:paraId="11DA5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FF9409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存储层</w:t>
            </w:r>
          </w:p>
        </w:tc>
        <w:tc>
          <w:tcPr>
            <w:tcW w:w="294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81A009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SQLite store、用户表、会话、checkpoint、模拟盘记录</w:t>
            </w:r>
          </w:p>
        </w:tc>
        <w:tc>
          <w:tcPr>
            <w:tcW w:w="481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0501C2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身份、历史、任务恢复和审计数据</w:t>
            </w:r>
          </w:p>
        </w:tc>
      </w:tr>
    </w:tbl>
    <w:p w14:paraId="6D4A5413"/>
    <w:p w14:paraId="0C8D1A7B">
      <w:pPr>
        <w:pStyle w:val="3"/>
      </w:pPr>
      <w:r>
        <w:t>三、核心设计范式</w:t>
      </w:r>
    </w:p>
    <w:p w14:paraId="31DCB046">
      <w:pPr>
        <w:pStyle w:val="4"/>
      </w:pPr>
      <w:r>
        <w:t>3.1 Harness：模型外部的质量控制线</w:t>
      </w:r>
    </w:p>
    <w:p w14:paraId="79B2B6E2">
      <w:r>
        <w:rPr>
          <w:rFonts w:ascii="微软雅黑" w:hAnsi="微软雅黑" w:eastAsia="微软雅黑"/>
          <w:b w:val="0"/>
          <w:color w:val="000000"/>
          <w:sz w:val="21"/>
        </w:rPr>
        <w:t>Harness 不是模型本身，而是包围模型调用的工程控制层。它统一处理输入、Provider、输出解析、Schema 校验、Guardrail、重试、日志和指标。这样模型输出不再直接进入交易建议流程。</w:t>
      </w:r>
    </w:p>
    <w:p w14:paraId="41131965">
      <w:pPr>
        <w:pStyle w:val="4"/>
      </w:pPr>
      <w:r>
        <w:t>3.2 Loop：让 Agent 能持续完成任务</w:t>
      </w:r>
    </w:p>
    <w:p w14:paraId="135E1655">
      <w:r>
        <w:rPr>
          <w:rFonts w:ascii="微软雅黑" w:hAnsi="微软雅黑" w:eastAsia="微软雅黑"/>
          <w:b w:val="0"/>
          <w:color w:val="000000"/>
          <w:sz w:val="21"/>
        </w:rPr>
        <w:t>Loop 由规划、工具调用、观察结果、反思判断和继续或结束五个要素组成。每轮循环都有状态，遇到工具失败可以重试，遇到风险或需要人决定时可以停止。</w:t>
      </w:r>
    </w:p>
    <w:p w14:paraId="585FCFCA">
      <w:pPr>
        <w:pStyle w:val="4"/>
      </w:pPr>
      <w:r>
        <w:t>3.3 Graph：把流程变成可审计的状态机</w:t>
      </w:r>
    </w:p>
    <w:p w14:paraId="32AED304">
      <w:r>
        <w:rPr>
          <w:rFonts w:ascii="微软雅黑" w:hAnsi="微软雅黑" w:eastAsia="微软雅黑"/>
          <w:b w:val="0"/>
          <w:color w:val="000000"/>
          <w:sz w:val="21"/>
        </w:rPr>
        <w:t>证券深度投研使用 LangGraph 节点和条件边表达流程。图中节点负责单一动作，条件边根据 status、置信度和风险结果选择下一步；interrupt 将流程暂停并等待 approve/reject；SQLite checkpoint 使服务重启后仍能恢复。</w:t>
      </w:r>
    </w:p>
    <w:p w14:paraId="2AB60E90">
      <w:pPr>
        <w:pStyle w:val="3"/>
      </w:pPr>
      <w:r>
        <w:t>四、证券分析工作流</w:t>
      </w:r>
    </w:p>
    <w:p w14:paraId="11A0E0B7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接收 symbol 和 data_mode，校验输入并建立 thread_id。</w:t>
      </w:r>
    </w:p>
    <w:p w14:paraId="5C9B5B76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四个 Specialist Agent 并行或按编排策略读取行情、基本面、行业和市场状态。</w:t>
      </w:r>
    </w:p>
    <w:p w14:paraId="4D1A198F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Bull/Bear 对关键结论进行多空观点对照，Synthesis 生成结构化综合报告。</w:t>
      </w:r>
    </w:p>
    <w:p w14:paraId="058FF76D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Trader 生成参考价、止损价、交易信号和建议仓位；Risk Manager 按止损距离计算单笔账户风险并限制在 2% 内。</w:t>
      </w:r>
    </w:p>
    <w:p w14:paraId="20D6F50E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需要人工决策时触发 human approval；批准后执行模拟动作，拒绝则进入 block；置信度不足进入 no_trade。</w:t>
      </w:r>
    </w:p>
    <w:p w14:paraId="78C66BA2">
      <w:pPr>
        <w:pStyle w:val="14"/>
        <w:numPr>
          <w:ilvl w:val="0"/>
          <w:numId w:val="7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所有结果写入状态和 checkpoint，API 返回 completed、interrupted、no_trade、failed 等真实状态。</w:t>
      </w:r>
    </w:p>
    <w:p w14:paraId="5D0C2D36">
      <w:pPr>
        <w:pStyle w:val="3"/>
      </w:pPr>
      <w:r>
        <w:t>五、数据真实性与降级策略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4"/>
        <w:gridCol w:w="2891"/>
        <w:gridCol w:w="2381"/>
        <w:gridCol w:w="2494"/>
      </w:tblGrid>
      <w:tr w14:paraId="0FCD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6B0400E7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模式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54159E42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数据来源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2D1A47AD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允许的表述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03787A16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限制</w:t>
            </w:r>
          </w:p>
        </w:tc>
      </w:tr>
      <w:tr w14:paraId="33A66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987583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offline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450CA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SampleMarketDataProvider / offline_sample_data.py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42CB1CE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内置样例数据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2B7D91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不代表实时行情</w:t>
            </w:r>
          </w:p>
        </w:tc>
      </w:tr>
      <w:tr w14:paraId="42686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96C3A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auto/联网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BE82BE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Provider Factory 选择 AkShare、腾讯公开接口等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3F7E53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联网行情/公开接口返回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C6FE67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依赖网络、接口可用性和交易时段</w:t>
            </w:r>
          </w:p>
        </w:tc>
      </w:tr>
      <w:tr w14:paraId="1026A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480892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fallback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C66B08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主数据源失败后受控切换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41C131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降级数据，并记录 fallback_reason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01D9DF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不能把降级结果标为实时</w:t>
            </w:r>
          </w:p>
        </w:tc>
      </w:tr>
      <w:tr w14:paraId="426C2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0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16CBDE5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unavailable</w:t>
            </w:r>
          </w:p>
        </w:tc>
        <w:tc>
          <w:tcPr>
            <w:tcW w:w="289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D99FA8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无法取得或校验失败</w:t>
            </w:r>
          </w:p>
        </w:tc>
        <w:tc>
          <w:tcPr>
            <w:tcW w:w="2381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D11C6E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数据不可用</w:t>
            </w:r>
          </w:p>
        </w:tc>
        <w:tc>
          <w:tcPr>
            <w:tcW w:w="2494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C1BCF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应停止相关分析，不静默填零</w:t>
            </w:r>
          </w:p>
        </w:tc>
      </w:tr>
    </w:tbl>
    <w:p w14:paraId="0CD315F3"/>
    <w:p w14:paraId="36753598">
      <w:r>
        <w:rPr>
          <w:rFonts w:ascii="微软雅黑" w:hAnsi="微软雅黑" w:eastAsia="微软雅黑"/>
          <w:b w:val="0"/>
          <w:color w:val="000000"/>
          <w:sz w:val="21"/>
        </w:rPr>
        <w:t>每个关键结果应包含 source、data_status、updated_at；价格、昨收、交易时间和交易日范围进行一致性校验。真实数据和样例数据在前端徽标、报告和 API 中明确区分。证券接口校验六位 A 股代码与数据源返回标的一致性，不存在的代码明确拒绝。中国境内天气预报优先使用 CMA-GRAPES，超出时效后由 Open-Meteo Best Match 补全，并逐日记录模型来源；省级区域必须继续选择具体城市。</w:t>
      </w:r>
    </w:p>
    <w:p w14:paraId="7E30925E">
      <w:pPr>
        <w:pStyle w:val="3"/>
      </w:pPr>
      <w:r>
        <w:t>六、模拟盘与安全边界</w:t>
      </w:r>
    </w:p>
    <w:p w14:paraId="1CBAAD54">
      <w:r>
        <w:rPr>
          <w:rFonts w:ascii="微软雅黑" w:hAnsi="微软雅黑" w:eastAsia="微软雅黑"/>
          <w:b w:val="0"/>
          <w:color w:val="000000"/>
          <w:sz w:val="21"/>
        </w:rPr>
        <w:t>模拟盘使用 MockBroker 和本地 SQLite 记录现金、持仓、订单、成交、净值和异常。它用于验证订单状态机、幂等、恢复和前端交互，不等价于真实交易。2026-08-14 已记录首个有效真实交易日：000001 和 600519 均为腾讯公开 live 行情且无降级，当前为 1/7；其余天数必须由自然时间积累。</w:t>
      </w:r>
    </w:p>
    <w:p w14:paraId="6DA4D53F">
      <w:pPr>
        <w:pStyle w:val="3"/>
      </w:pPr>
      <w:r>
        <w:t>七、真实 DeepSeek Harness 回放证据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7996B1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FFF2CC"/>
          </w:tcPr>
          <w:p w14:paraId="176F24E6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证据边界：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真实回放属于固定离线评测，不等于生产用户流量。Mock 固定集的 100% 拦截结果不能替代真实模型指标。</w:t>
            </w:r>
          </w:p>
        </w:tc>
      </w:tr>
    </w:tbl>
    <w:p w14:paraId="13B986E1"/>
    <w:p w14:paraId="3C9ACF3F">
      <w:pPr>
        <w:pStyle w:val="4"/>
      </w:pPr>
      <w:r>
        <w:t>7.1 100 条真实结果</w:t>
      </w:r>
    </w:p>
    <w:p w14:paraId="2915F000">
      <w:r>
        <w:rPr>
          <w:rFonts w:ascii="微软雅黑" w:hAnsi="微软雅黑" w:eastAsia="微软雅黑"/>
          <w:b w:val="0"/>
          <w:color w:val="000000"/>
          <w:sz w:val="21"/>
        </w:rPr>
        <w:t>2026-08-14 使用固定人工标注评测集 enterprise_harness_100_v1 执行了 100 条真实 DeepSeek 回放。每条任务只调用模型一次，再对同一响应执行 OFF/ON 对照。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4535"/>
      </w:tblGrid>
      <w:tr w14:paraId="240CB7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FBAF52A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BE7D16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实测值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F4FBC85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解释</w:t>
            </w:r>
          </w:p>
        </w:tc>
      </w:tr>
      <w:tr w14:paraId="2B380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4E8F5E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样本数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0A31C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5F58E9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正常、20 缺字段、15 违规、10 注入、10 数据风险、5 格式异常</w:t>
            </w:r>
          </w:p>
        </w:tc>
      </w:tr>
      <w:tr w14:paraId="1F36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E028D2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Schema 合格率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B493400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67.0%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26D7D6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 条中 67 条通过 OFF 结构检查</w:t>
            </w:r>
          </w:p>
        </w:tc>
      </w:tr>
      <w:tr w14:paraId="61BF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45C9C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标签匹配率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8CD540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91.0%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62CECA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实际结果与人工预期类别一致的比例</w:t>
            </w:r>
          </w:p>
        </w:tc>
      </w:tr>
      <w:tr w14:paraId="00D11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FBE91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违规拦截召回率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C56A0D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100%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65406C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预期违规样本全部被识别并拦截</w:t>
            </w:r>
          </w:p>
        </w:tc>
      </w:tr>
      <w:tr w14:paraId="67E67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72B58C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违规拦截精确率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E866DB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93.75%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028604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实际违规拦截中属于预期违规的比例</w:t>
            </w:r>
          </w:p>
        </w:tc>
      </w:tr>
      <w:tr w14:paraId="44342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3D5A71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正常请求误报率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101A3A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FF35DA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条正常请求没有被错误拦截</w:t>
            </w:r>
          </w:p>
        </w:tc>
      </w:tr>
      <w:tr w14:paraId="3D004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CEEF11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人工审核率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8E6F3A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11.0%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E3BCF8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输入风险检测命中的比例</w:t>
            </w:r>
          </w:p>
        </w:tc>
      </w:tr>
      <w:tr w14:paraId="32123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CA88C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固定事实错误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D880DF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0/40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63EAF1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40 条携带事实快照的正常任务未观测到事实篡改</w:t>
            </w:r>
          </w:p>
        </w:tc>
      </w:tr>
      <w:tr w14:paraId="4D968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D05CA0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无效下游动作资格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6D5DBD2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OFF 60 -&gt; ON 0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2953D7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Harness 阻止结构或合规不合格结果进入下游</w:t>
            </w:r>
          </w:p>
        </w:tc>
      </w:tr>
      <w:tr w14:paraId="26A1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D69564E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P50/P95/P99</w:t>
            </w:r>
          </w:p>
        </w:tc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E675A7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2.144 / 2.821 / 5.002 秒</w:t>
            </w:r>
          </w:p>
        </w:tc>
        <w:tc>
          <w:tcPr>
            <w:tcW w:w="45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D19140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真实调用延迟分布</w:t>
            </w:r>
          </w:p>
        </w:tc>
      </w:tr>
    </w:tbl>
    <w:p w14:paraId="3D7D2A2F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6"/>
      </w:tblGrid>
      <w:tr w14:paraId="09F87D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tcBorders>
              <w:top w:val="single" w:color="9FBAD0" w:sz="4" w:space="0"/>
              <w:left w:val="single" w:color="9FBAD0" w:sz="4" w:space="0"/>
              <w:bottom w:val="single" w:color="9FBAD0" w:sz="4" w:space="0"/>
              <w:right w:val="single" w:color="9FBAD0" w:sz="4" w:space="0"/>
              <w:insideH w:val="single" w:sz="4" w:space="0"/>
              <w:insideV w:val="single" w:sz="4" w:space="0"/>
            </w:tcBorders>
            <w:shd w:val="clear" w:color="auto" w:fill="FCE4D6"/>
          </w:tcPr>
          <w:p w14:paraId="42E0D09E">
            <w:r>
              <w:rPr>
                <w:rFonts w:ascii="微软雅黑" w:hAnsi="微软雅黑" w:eastAsia="微软雅黑"/>
                <w:b/>
                <w:color w:val="1F4E79"/>
                <w:sz w:val="21"/>
              </w:rPr>
              <w:t>真实结论：</w:t>
            </w:r>
            <w:r>
              <w:rPr>
                <w:rFonts w:ascii="微软雅黑" w:hAnsi="微软雅黑" w:eastAsia="微软雅黑"/>
                <w:b w:val="0"/>
                <w:color w:val="000000"/>
                <w:sz w:val="21"/>
              </w:rPr>
              <w:t>真实模型的 100 条结果显示，本轮违规拦截召回率为 100%、正常误报率为 0%，但仍有 33% 的输出未通过结构检查。40 条事实核验样本未观测到事实错误，因此事实错误阻断率没有有效分母，应记为 N/A，不能声称已证明真实幻觉率为零。当前只完成 1 个自然日，7 天证据状态仍为 collecting。</w:t>
            </w:r>
          </w:p>
        </w:tc>
      </w:tr>
    </w:tbl>
    <w:p w14:paraId="0B3B976D"/>
    <w:p w14:paraId="30459EA4">
      <w:r>
        <w:rPr>
          <w:rFonts w:ascii="微软雅黑" w:hAnsi="微软雅黑" w:eastAsia="微软雅黑"/>
          <w:b w:val="0"/>
          <w:color w:val="000000"/>
          <w:sz w:val="21"/>
        </w:rPr>
        <w:t>新版评测集给正常任务附带固定事实快照，并保存脱敏后的结构化输出逐字段核验；只有完成核验的样本才进入幻觉率分母。同时统计 Harness OFF/ON 下输出是否有资格触发下游动作，以计算被阻止的无效调用。该统计不执行真实交易或业务 API。旧报告缺少这些字段，不能倒推新指标。</w:t>
      </w:r>
    </w:p>
    <w:p w14:paraId="0C7E3C28">
      <w:r>
        <w:rPr>
          <w:rFonts w:ascii="微软雅黑" w:hAnsi="微软雅黑" w:eastAsia="微软雅黑"/>
          <w:b w:val="0"/>
          <w:color w:val="000000"/>
          <w:sz w:val="21"/>
        </w:rPr>
        <w:t>结构化输出兼容性补充：deepseek-chat 在本环境对 response_format 请求出现 HTTP 400，因此系统不会强行启用 JSON Mode；deepseek-v4-flash 的 3 条冒烟测试可正常返回 JSON，但 P95 延迟约 11.08 秒。系统现在按模型能力自动选择，优先保证兼容性，不把协议错误伪装成模型质量指标。</w:t>
      </w:r>
    </w:p>
    <w:p w14:paraId="79CB4C7C">
      <w:pPr>
        <w:pStyle w:val="3"/>
      </w:pPr>
      <w:r>
        <w:t>八、回测与未达标项</w:t>
      </w:r>
    </w:p>
    <w:p w14:paraId="02275C2B">
      <w:r>
        <w:rPr>
          <w:rFonts w:ascii="微软雅黑" w:hAnsi="微软雅黑" w:eastAsia="微软雅黑"/>
          <w:b w:val="0"/>
          <w:color w:val="000000"/>
          <w:sz w:val="21"/>
        </w:rPr>
        <w:t>回测保留原 Sharpe 公式、年化方式、无风险利率、0.5 阈值和 MA baseline。当前已完成成本、滑点、印花税、连续仓位、Walk-forward、样本外对比和基准收益记录，但策略研究结果仍未稳定达到 Sharpe 0.5。正式基线多因子样本外均值约为 -0.337；本轮预先定义的稳健选参挑战方案实测为 -0.499，未带来改善，因此没有替换正式基线。</w:t>
      </w:r>
    </w:p>
    <w:p w14:paraId="5E7BDCC1">
      <w:pPr>
        <w:pStyle w:val="3"/>
      </w:pPr>
      <w:r>
        <w:t>九、质量验证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835"/>
        <w:gridCol w:w="3969"/>
      </w:tblGrid>
      <w:tr w14:paraId="37418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72EFB28F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门禁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47A00C6B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结果/状态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1F4E79"/>
            <w:vAlign w:val="center"/>
          </w:tcPr>
          <w:p w14:paraId="5715E51A"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证据</w:t>
            </w:r>
          </w:p>
        </w:tc>
      </w:tr>
      <w:tr w14:paraId="1A569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38E94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DF233A">
            <w:r>
              <w:t>1667 项收集；1666 passed，1 skipped，0 failed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37D33D2">
            <w:r>
              <w:t>2026-08-15 pytest</w:t>
            </w:r>
          </w:p>
        </w:tc>
      </w:tr>
      <w:tr w14:paraId="6A41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CC95E6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静态检查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3E32E91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pyflakes、compileall 已通过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1C4FEC8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命令输出</w:t>
            </w:r>
          </w:p>
        </w:tc>
      </w:tr>
      <w:tr w14:paraId="6BEB5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4626EEF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前端语法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12B6E3A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已通过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75D1DC9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Scripts/check_frontend_syntax.js</w:t>
            </w:r>
          </w:p>
        </w:tc>
      </w:tr>
      <w:tr w14:paraId="06463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0CE9B3B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敏感信息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C030E67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API Key 不写入代码、文档、日志或 Git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63A4EAD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.env 与报告审计</w:t>
            </w:r>
          </w:p>
        </w:tc>
      </w:tr>
      <w:tr w14:paraId="4604E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AD7A286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真实券商</w:t>
            </w:r>
          </w:p>
        </w:tc>
        <w:tc>
          <w:tcPr>
            <w:tcW w:w="2835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AB3C7E4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未连接</w:t>
            </w:r>
          </w:p>
        </w:tc>
        <w:tc>
          <w:tcPr>
            <w:tcW w:w="3969" w:type="dxa"/>
            <w:tcBorders>
              <w:top w:val="single" w:color="B7C9D6" w:sz="4" w:space="0"/>
              <w:left w:val="single" w:color="B7C9D6" w:sz="4" w:space="0"/>
              <w:bottom w:val="single" w:color="B7C9D6" w:sz="4" w:space="0"/>
              <w:right w:val="single" w:color="B7C9D6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208D2E3"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MockBroker 与 AST/集成测试</w:t>
            </w:r>
          </w:p>
        </w:tc>
      </w:tr>
    </w:tbl>
    <w:p w14:paraId="62458AA6">
      <w:r>
        <w:t>可观测性页面展示调用明细、延迟、字符量、成功率、Guardrail 和重试指标。图表按 Agent 汇总平均值，使用简短中文标签；空间不足时标签自动倾斜并保留悬停完整名称，避免重复英文名称互相遮挡。</w:t>
      </w:r>
    </w:p>
    <w:p w14:paraId="058784BD">
      <w:pPr>
        <w:pStyle w:val="3"/>
      </w:pPr>
      <w:r>
        <w:t>十、后续计划</w:t>
      </w:r>
    </w:p>
    <w:p w14:paraId="4E9636B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扩大真实 LLM 回放任务和多日期运行，形成可统计的 Schema、拦截、延迟和重试样本。</w:t>
      </w:r>
    </w:p>
    <w:p w14:paraId="5A67060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自然运行模拟盘至少 7-14 个真实交易日后，再决定是否满足时间证据要求。</w:t>
      </w:r>
    </w:p>
    <w:p w14:paraId="7E8DA1D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继续采用严格样本外和多基准验证改进策略，保留原始 baseline 和公式。</w:t>
      </w:r>
    </w:p>
    <w:p w14:paraId="104CD1D9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需要多主机扩容时迁移 PostgreSQL、Redis 分布式限流、集中式密钥管理和独立调度 worker。</w:t>
      </w:r>
    </w:p>
    <w:p w14:paraId="32FBD439">
      <w:pPr>
        <w:pStyle w:val="3"/>
      </w:pPr>
      <w:r>
        <w:t>十</w:t>
      </w:r>
      <w:r>
        <w:rPr>
          <w:rFonts w:hint="eastAsia" w:eastAsia="宋体"/>
          <w:lang w:val="en-US" w:eastAsia="zh-CN"/>
        </w:rPr>
        <w:t>一</w:t>
      </w:r>
      <w:r>
        <w:t>、交付与服务器更新</w:t>
      </w:r>
      <w:bookmarkStart w:id="0" w:name="_GoBack"/>
      <w:bookmarkEnd w:id="0"/>
    </w:p>
    <w:p w14:paraId="5D840440">
      <w:r>
        <w:rPr>
          <w:rFonts w:ascii="微软雅黑" w:hAnsi="微软雅黑" w:eastAsia="微软雅黑"/>
          <w:b w:val="0"/>
          <w:color w:val="000000"/>
          <w:sz w:val="21"/>
        </w:rPr>
        <w:t>当前交付只保留一套 FastAPI 后端和一个 HTML 主前端。Rule、Skill、Workflow、MCP、SubAgents、tests 和实验原始证据属于任务书验收内容；本机 .env、.venv、SQLite、日志、缓存和压缩包不进入 Git 或服务器源代码包。损坏重复部署文档、协作日志、旧冒烟报告和废弃 final 报告别名已清理。</w:t>
      </w:r>
    </w:p>
    <w:p w14:paraId="0704D9F7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完成测试后提交 Git，再用 git archive --format=zip --output agent-platform.zip HEAD 生成干净部署包。</w:t>
      </w:r>
    </w:p>
    <w:p w14:paraId="40B3FF35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首次部署把压缩包上传到服务器 /tmp，解压后执行 deploy/install_demo.sh。</w:t>
      </w:r>
    </w:p>
    <w:p w14:paraId="0B38F742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更新已有服务器前先运行 sudo agent-platform-backup，再将新版解压到新的 /tmp 目录。</w:t>
      </w:r>
    </w:p>
    <w:p w14:paraId="6F0F9C79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使用与首次部署相同的 IP 或域名参数再次执行安装脚本；脚本保留 .env.production 和 data/。</w:t>
      </w:r>
    </w:p>
    <w:p w14:paraId="5376A6C9">
      <w:pPr>
        <w:pStyle w:val="14"/>
        <w:numPr>
          <w:ilvl w:val="0"/>
          <w:numId w:val="8"/>
        </w:numPr>
      </w:pPr>
      <w:r>
        <w:rPr>
          <w:rFonts w:ascii="微软雅黑" w:hAnsi="微软雅黑" w:eastAsia="微软雅黑"/>
          <w:b w:val="0"/>
          <w:color w:val="000000"/>
          <w:sz w:val="21"/>
        </w:rPr>
        <w:t>更新后检查 docker compose ps、/health、/ready 和容器日志，再验证登录、样例分析与 MockBroker。2026-08-15 已在 Ubuntu 服务器完成该流程实测：容器 healthy，健康与就绪接口正常，Nginx 页面可访问，更新保留 .env.production、账号和业务数据库。</w:t>
      </w:r>
    </w:p>
    <w:p>
      <w:pPr>
        <w:pStyle w:val="3"/>
      </w:pPr>
      <w:r>
        <w:t>十二、用户级 Skill 市场</w:t>
      </w:r>
    </w:p>
    <w:p>
      <w:pPr/>
      <w:r>
        <w:t>系统已提供面向所有登录用户的可视化 Skill 市场。用户可搜索和查看 Skill 的说明、版本、所需权限与来源，并把选中的 Skill 安装到自己的账号；启用后，Agent 对话只加载该用户当前启用的 Skill。</w:t>
      </w:r>
    </w:p>
    <w:p>
      <w:pPr>
        <w:pStyle w:val="16"/>
      </w:pPr>
      <w:r>
        <w:t>默认目录来源为 OpenAI 官方精选目录 openai/skills（skills/.curated）和 Anthropic 官方目录 anthropics/skills（skills）。远程目录不可用时，页面明确显示错误或缓存状态，不把本地样例伪装成联网结果。</w:t>
      </w:r>
    </w:p>
    <w:p>
      <w:pPr>
        <w:pStyle w:val="16"/>
      </w:pPr>
      <w:r>
        <w:t>安装流程执行来源白名单检查、固定 Git 提交解析、Git 对象完整性校验和 SHA256 计算。平台只提取并保存 SKILL.md 说明文件，不自动下载或执行官方仓库中的未知脚本。</w:t>
      </w:r>
    </w:p>
    <w:p>
      <w:pPr>
        <w:pStyle w:val="16"/>
      </w:pPr>
      <w:r>
        <w:t>Skill 按账号隔离：一个用户安装、启用、停用或删除 Skill，不会改变其他用户的安装状态。管理员也不能把某个普通用户的个人安装状态直接扩散到全部账号。</w:t>
      </w:r>
    </w:p>
    <w:p>
      <w:pPr>
        <w:pStyle w:val="16"/>
      </w:pPr>
      <w:r>
        <w:t>远程 Skill 当前属于说明型上下文插件，用于指导 Agent 生成回答或执行平台已有工具；它不自动获得文件系统、网络、交易或管理员权限。需要新增可执行能力时，必须由开发者单独实现并审核受控适配器。</w:t>
      </w:r>
    </w:p>
    <w:p>
      <w:pPr>
        <w:pStyle w:val="16"/>
      </w:pPr>
      <w:r>
        <w:t>容器镜像已包含 skill_catalog 与 skills 目录，服务器部署后可使用内置目录；远程官方目录仍依赖服务器访问 GitHub API 的网络条件。专项测试 13 项通过，全量测试在本次功能交付时通过且有 1 项按环境条件跳过。</w:t>
      </w:r>
    </w:p>
    <w:p w14:paraId="1BE9B7A0">
      <w:pPr>
        <w:pStyle w:val="3"/>
      </w:pPr>
      <w:r>
        <w:t>十三、免责声明</w:t>
      </w:r>
    </w:p>
    <w:p w14:paraId="57F8CFCC">
      <w:r>
        <w:rPr>
          <w:rFonts w:ascii="微软雅黑" w:hAnsi="微软雅黑" w:eastAsia="微软雅黑"/>
          <w:b w:val="0"/>
          <w:color w:val="000000"/>
          <w:sz w:val="21"/>
        </w:rPr>
        <w:t>本系统用于 Agent 工程、数据流程、风控和研究方法演示。证券分析结果不构成投资建议；联网数据可能延迟、缺失或受第三方接口限制；严禁把模拟盘结果当作真实收益，也不得在未完成生产安全审查前接入真实交易。</w:t>
      </w:r>
    </w:p>
    <w:sectPr>
      <w:pgSz w:w="12240" w:h="15840"/>
      <w:pgMar w:top="964" w:right="1077" w:bottom="907" w:left="107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3" w:lineRule="auto"/>
      </w:pPr>
      <w:r>
        <w:separator/>
      </w:r>
    </w:p>
  </w:footnote>
  <w:footnote w:type="continuationSeparator" w:id="1">
    <w:p>
      <w:pPr>
        <w:spacing w:before="0" w:after="0" w:line="283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3D7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3" w:lineRule="auto"/>
    </w:pPr>
    <w:rPr>
      <w:rFonts w:ascii="微软雅黑" w:hAnsi="微软雅黑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F5597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/>
      <w:outlineLvl w:val="2"/>
    </w:pPr>
    <w:rPr>
      <w:rFonts w:asciiTheme="majorHAnsi" w:hAnsiTheme="majorHAnsi" w:eastAsiaTheme="majorEastAsia" w:cstheme="majorBidi"/>
      <w:b/>
      <w:bCs/>
      <w:color w:val="44546A"/>
      <w:sz w:val="22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before="240" w:after="12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4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3076</Words>
  <Characters>4607</Characters>
  <Lines>0</Lines>
  <Paragraphs>0</Paragraphs>
  <TotalTime>1</TotalTime>
  <ScaleCrop>false</ScaleCrop>
  <LinksUpToDate>false</LinksUpToDate>
  <CharactersWithSpaces>4870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撒•野</cp:lastModifiedBy>
  <dcterms:modified xsi:type="dcterms:W3CDTF">2026-08-18T00:00:00Z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eyJoZGlkIjoiMzIzNDYxYzM4NjNiZDNjNTIzYTY2OTViMWU1MGM4M2YiLCJ1c2VySWQiOiIxMzM1MDg5NTEyIn0=</vt:lpwstr>
  </property>
  <property fmtid="{D5CDD505-2E9C-101B-9397-08002B2CF9AE}" pid="3" name="KSOProductBuildVer">
    <vt:lpwstr>2052-12.1.0.28043</vt:lpwstr>
  </property>
  <property fmtid="{D5CDD505-2E9C-101B-9397-08002B2CF9AE}" pid="4" name="ICV">
    <vt:lpwstr>61BABDEEE8BA4C82B19CDDFAD86B650B_12</vt:lpwstr>
  </property>
</Properties>
</file>