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C  A  H  I  E  R     D  E  S     C  H  A  R  G  E  S</w:t>
            </w:r>
          </w:p>
          <w:p>
            <w:pPr>
              <w:spacing w:after="300" w:line="920" w:lineRule="atLeast"/>
              <w:ind w:left="1200"/>
            </w:pPr>
            <w:r>
              <w:rPr>
                <w:rFonts w:ascii="Arial" w:eastAsia="SimHei"/>
                <w:b/>
                <w:bCs/>
                <w:color w:val="FFFFFF"/>
                <w:sz w:val="80"/>
                <w:szCs w:val="80"/>
              </w:rPr>
              <w:t xml:space="preserve">NettOS</w:t>
            </w:r>
          </w:p>
          <w:p>
            <w:pPr>
              <w:spacing w:after="800"/>
              <w:ind w:left="1200"/>
            </w:pPr>
            <w:r>
              <w:rPr>
                <w:rFonts w:ascii="Arial" w:eastAsia="Microsoft YaHei"/>
                <w:color w:val="B0B8C0"/>
                <w:sz w:val="24"/>
                <w:szCs w:val="24"/>
              </w:rPr>
              <w:t xml:space="preserve">Diagnostic, maintenance et nettoyage système multiplateforme</w:t>
            </w:r>
          </w:p>
          <w:p>
            <w:pPr>
              <w:pBdr>
                <w:left w:val="single" w:color="37DCF2" w:sz="8" w:space="12"/>
              </w:pBdr>
              <w:spacing w:after="80"/>
              <w:ind w:left="1400"/>
            </w:pPr>
            <w:r>
              <w:rPr>
                <w:rFonts w:ascii="Arial" w:eastAsia="Microsoft YaHei"/>
                <w:color w:val="90989F"/>
                <w:sz w:val="24"/>
                <w:szCs w:val="24"/>
              </w:rPr>
              <w:t xml:space="preserve">Version 1.1 — Consolidation du cadrage v1.0</w:t>
            </w:r>
          </w:p>
          <w:p>
            <w:pPr>
              <w:pBdr>
                <w:left w:val="single" w:color="37DCF2" w:sz="8" w:space="12"/>
              </w:pBdr>
              <w:spacing w:after="80"/>
              <w:ind w:left="1400"/>
            </w:pPr>
            <w:r>
              <w:rPr>
                <w:rFonts w:ascii="Arial" w:eastAsia="Microsoft YaHei"/>
                <w:color w:val="90989F"/>
                <w:sz w:val="24"/>
                <w:szCs w:val="24"/>
              </w:rPr>
              <w:t xml:space="preserve">Projet open source · Linux et Windows</w:t>
            </w:r>
          </w:p>
          <w:p>
            <w:pPr>
              <w:pBdr>
                <w:left w:val="single" w:color="37DCF2" w:sz="8" w:space="12"/>
              </w:pBdr>
              <w:spacing w:after="80"/>
              <w:ind w:left="1400"/>
            </w:pPr>
            <w:r>
              <w:rPr>
                <w:rFonts w:ascii="Arial" w:eastAsia="Microsoft YaHei"/>
                <w:color w:val="90989F"/>
                <w:sz w:val="24"/>
                <w:szCs w:val="24"/>
              </w:rPr>
              <w:t xml:space="preserve">Licence : GNU GPL-3.0</w:t>
            </w:r>
          </w:p>
          <w:p>
            <w:pPr>
              <w:pBdr>
                <w:left w:val="single" w:color="37DCF2" w:sz="8" w:space="12"/>
              </w:pBdr>
              <w:spacing w:after="80"/>
              <w:ind w:left="1400"/>
            </w:pPr>
            <w:r>
              <w:rPr>
                <w:rFonts w:ascii="Arial" w:eastAsia="Microsoft YaHei"/>
                <w:color w:val="90989F"/>
                <w:sz w:val="24"/>
                <w:szCs w:val="24"/>
              </w:rPr>
              <w:t xml:space="preserve">Octobre 2026</w:t>
            </w:r>
          </w:p>
          <w:p>
            <w:pPr>
              <w:spacing w:before="4596"/>
            </w:pPr>
          </w:p>
          <w:p>
            <w:pPr>
              <w:pBdr>
                <w:top w:val="single" w:color="37DCF2" w:sz="2" w:space="8"/>
              </w:pBdr>
              <w:spacing w:before="200"/>
              <w:ind w:left="1200" w:right="800"/>
            </w:pPr>
            <w:r>
              <w:rPr>
                <w:rFonts w:ascii="Arial"/>
                <w:color w:val="687078"/>
                <w:sz w:val="16"/>
                <w:szCs w:val="16"/>
              </w:rPr>
              <w:t xml:space="preserve">Projet NettOS</w:t>
            </w:r>
            <w:r>
              <w:t xml:space="preserve">                                        </w:t>
            </w:r>
            <w:r>
              <w:rPr>
                <w:rFonts w:ascii="Arial"/>
                <w:color w:val="687078"/>
                <w:sz w:val="16"/>
                <w:szCs w:val="16"/>
              </w:rPr>
              <w:t xml:space="preserve">Cahier des charges technique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384F"/>
          <w:sz w:val="32"/>
          <w:szCs w:val="32"/>
        </w:rPr>
        <w:t xml:space="preserve">Table des matières</w:t>
      </w:r>
    </w:p>
    <w:sdt>
      <w:sdtPr>
        <w:alias w:val="Table des matières"/>
      </w:sdtPr>
      <w:sdtContent>
        <w:p>
          <w:pPr>
            <w:pStyle w:val="TOC1"/>
            <w:tabs>
              <w:tab w:val="right" w:leader="dot" w:pos="9026"/>
            </w:tabs>
            <w:spacing w:before="120" w:after="60"/>
          </w:pPr>
          <w:r>
            <w:t>Résumé exécutif</w:t>
          </w:r>
          <w:r>
            <w:tab/>
          </w:r>
          <w:r>
            <w:t>1</w:t>
          </w:r>
        </w:p>
        <w:p>
          <w:pPr>
            <w:pStyle w:val="TOC1"/>
            <w:tabs>
              <w:tab w:val="right" w:leader="dot" w:pos="9026"/>
            </w:tabs>
            <w:spacing w:before="120" w:after="60"/>
          </w:pPr>
          <w:r>
            <w:t>1. Présentation du projet, vision et objectifs</w:t>
          </w:r>
          <w:r>
            <w:tab/>
          </w:r>
          <w:r>
            <w:t>1</w:t>
          </w:r>
        </w:p>
        <w:p>
          <w:pPr>
            <w:pStyle w:val="TOC2"/>
            <w:ind w:left="360"/>
            <w:tabs>
              <w:tab w:val="right" w:leader="dot" w:pos="9026"/>
            </w:tabs>
            <w:spacing w:before="120" w:after="60"/>
          </w:pPr>
          <w:r>
            <w:t>1.1 Vision : diagnostiquer avant d'agir</w:t>
          </w:r>
          <w:r>
            <w:tab/>
          </w:r>
          <w:r>
            <w:t>2</w:t>
          </w:r>
        </w:p>
        <w:p>
          <w:pPr>
            <w:pStyle w:val="TOC2"/>
            <w:ind w:left="360"/>
            <w:tabs>
              <w:tab w:val="right" w:leader="dot" w:pos="9026"/>
            </w:tabs>
            <w:spacing w:before="120" w:after="60"/>
          </w:pPr>
          <w:r>
            <w:t>1.2 Objectifs qualité et mesure du succès</w:t>
          </w:r>
          <w:r>
            <w:tab/>
          </w:r>
          <w:r>
            <w:t>2</w:t>
          </w:r>
        </w:p>
        <w:p>
          <w:pPr>
            <w:pStyle w:val="TOC2"/>
            <w:ind w:left="360"/>
            <w:tabs>
              <w:tab w:val="right" w:leader="dot" w:pos="9026"/>
            </w:tabs>
            <w:spacing w:before="120" w:after="60"/>
          </w:pPr>
          <w:r>
            <w:t>1.3 Public cible</w:t>
          </w:r>
          <w:r>
            <w:tab/>
          </w:r>
          <w:r>
            <w:t>3</w:t>
          </w:r>
        </w:p>
        <w:p>
          <w:pPr>
            <w:pStyle w:val="TOC2"/>
            <w:ind w:left="360"/>
            <w:tabs>
              <w:tab w:val="right" w:leader="dot" w:pos="9026"/>
            </w:tabs>
            <w:spacing w:before="120" w:after="60"/>
          </w:pPr>
          <w:r>
            <w:t>1.4 Non-objectifs permanents</w:t>
          </w:r>
          <w:r>
            <w:tab/>
          </w:r>
          <w:r>
            <w:t>4</w:t>
          </w:r>
        </w:p>
        <w:p>
          <w:pPr>
            <w:pStyle w:val="TOC2"/>
            <w:ind w:left="360"/>
            <w:tabs>
              <w:tab w:val="right" w:leader="dot" w:pos="9026"/>
            </w:tabs>
            <w:spacing w:before="120" w:after="60"/>
          </w:pPr>
          <w:r>
            <w:t>1.5 Licence et gouvernance du projet</w:t>
          </w:r>
          <w:r>
            <w:tab/>
          </w:r>
          <w:r>
            <w:t>4</w:t>
          </w:r>
        </w:p>
        <w:p>
          <w:pPr>
            <w:pStyle w:val="TOC1"/>
            <w:tabs>
              <w:tab w:val="right" w:leader="dot" w:pos="9026"/>
            </w:tabs>
            <w:spacing w:before="120" w:after="60"/>
          </w:pPr>
          <w:r>
            <w:t>2. Périmètre fonctionnel</w:t>
          </w:r>
          <w:r>
            <w:tab/>
          </w:r>
          <w:r>
            <w:t>4</w:t>
          </w:r>
        </w:p>
        <w:p>
          <w:pPr>
            <w:pStyle w:val="TOC2"/>
            <w:ind w:left="360"/>
            <w:tabs>
              <w:tab w:val="right" w:leader="dot" w:pos="9026"/>
            </w:tabs>
            <w:spacing w:before="120" w:after="60"/>
          </w:pPr>
          <w:r>
            <w:t>2.1 Frontière entre MVP et évolutions ultérieures</w:t>
          </w:r>
          <w:r>
            <w:tab/>
          </w:r>
          <w:r>
            <w:t>4</w:t>
          </w:r>
        </w:p>
        <w:p>
          <w:pPr>
            <w:pStyle w:val="TOC2"/>
            <w:ind w:left="360"/>
            <w:tabs>
              <w:tab w:val="right" w:leader="dot" w:pos="9026"/>
            </w:tabs>
            <w:spacing w:before="120" w:after="60"/>
          </w:pPr>
          <w:r>
            <w:t>2.2 Fonctions explicitement exclues du MVP</w:t>
          </w:r>
          <w:r>
            <w:tab/>
          </w:r>
          <w:r>
            <w:t>5</w:t>
          </w:r>
        </w:p>
        <w:p>
          <w:pPr>
            <w:pStyle w:val="TOC2"/>
            <w:ind w:left="360"/>
            <w:tabs>
              <w:tab w:val="right" w:leader="dot" w:pos="9026"/>
            </w:tabs>
            <w:spacing w:before="120" w:after="60"/>
          </w:pPr>
          <w:r>
            <w:t>2.3 Mode ligne de commande headless</w:t>
          </w:r>
          <w:r>
            <w:tab/>
          </w:r>
          <w:r>
            <w:t>5</w:t>
          </w:r>
        </w:p>
        <w:p>
          <w:pPr>
            <w:pStyle w:val="TOC1"/>
            <w:tabs>
              <w:tab w:val="right" w:leader="dot" w:pos="9026"/>
            </w:tabs>
            <w:spacing w:before="120" w:after="60"/>
          </w:pPr>
          <w:r>
            <w:t>3. Choix technologiques</w:t>
          </w:r>
          <w:r>
            <w:tab/>
          </w:r>
          <w:r>
            <w:t>6</w:t>
          </w:r>
        </w:p>
        <w:p>
          <w:pPr>
            <w:pStyle w:val="TOC2"/>
            <w:ind w:left="360"/>
            <w:tabs>
              <w:tab w:val="right" w:leader="dot" w:pos="9026"/>
            </w:tabs>
            <w:spacing w:before="120" w:after="60"/>
          </w:pPr>
          <w:r>
            <w:t>3.1 Pile technique retenue</w:t>
          </w:r>
          <w:r>
            <w:tab/>
          </w:r>
          <w:r>
            <w:t>6</w:t>
          </w:r>
        </w:p>
        <w:p>
          <w:pPr>
            <w:pStyle w:val="TOC2"/>
            <w:ind w:left="360"/>
            <w:tabs>
              <w:tab w:val="right" w:leader="dot" w:pos="9026"/>
            </w:tabs>
            <w:spacing w:before="120" w:after="60"/>
          </w:pPr>
          <w:r>
            <w:t>3.2 Justification et alternatives écartées</w:t>
          </w:r>
          <w:r>
            <w:tab/>
          </w:r>
          <w:r>
            <w:t>6</w:t>
          </w:r>
        </w:p>
        <w:p>
          <w:pPr>
            <w:pStyle w:val="TOC2"/>
            <w:ind w:left="360"/>
            <w:tabs>
              <w:tab w:val="right" w:leader="dot" w:pos="9026"/>
            </w:tabs>
            <w:spacing w:before="120" w:after="60"/>
          </w:pPr>
          <w:r>
            <w:t>3.3 Compatibilité visée, distribution et contraintes Windows</w:t>
          </w:r>
          <w:r>
            <w:tab/>
          </w:r>
          <w:r>
            <w:t>7</w:t>
          </w:r>
        </w:p>
        <w:p>
          <w:pPr>
            <w:pStyle w:val="TOC1"/>
            <w:tabs>
              <w:tab w:val="right" w:leader="dot" w:pos="9026"/>
            </w:tabs>
            <w:spacing w:before="120" w:after="60"/>
          </w:pPr>
          <w:r>
            <w:t>4. Architecture logicielle</w:t>
          </w:r>
          <w:r>
            <w:tab/>
          </w:r>
          <w:r>
            <w:t>7</w:t>
          </w:r>
        </w:p>
        <w:p>
          <w:pPr>
            <w:pStyle w:val="TOC2"/>
            <w:ind w:left="360"/>
            <w:tabs>
              <w:tab w:val="right" w:leader="dot" w:pos="9026"/>
            </w:tabs>
            <w:spacing w:before="120" w:after="60"/>
          </w:pPr>
          <w:r>
            <w:t>4.1 Vue d'ensemble en couches</w:t>
          </w:r>
          <w:r>
            <w:tab/>
          </w:r>
          <w:r>
            <w:t>7</w:t>
          </w:r>
        </w:p>
        <w:p>
          <w:pPr>
            <w:pStyle w:val="TOC2"/>
            <w:ind w:left="360"/>
            <w:tabs>
              <w:tab w:val="right" w:leader="dot" w:pos="9026"/>
            </w:tabs>
            <w:spacing w:before="120" w:after="60"/>
          </w:pPr>
          <w:r>
            <w:t>4.2 Règles d'architecture</w:t>
          </w:r>
          <w:r>
            <w:tab/>
          </w:r>
          <w:r>
            <w:t>8</w:t>
          </w:r>
        </w:p>
        <w:p>
          <w:pPr>
            <w:pStyle w:val="TOC2"/>
            <w:ind w:left="360"/>
            <w:tabs>
              <w:tab w:val="right" w:leader="dot" w:pos="9026"/>
            </w:tabs>
            <w:spacing w:before="120" w:after="60"/>
          </w:pPr>
          <w:r>
            <w:t>4.3 Organisation du dépôt</w:t>
          </w:r>
          <w:r>
            <w:tab/>
          </w:r>
          <w:r>
            <w:t>9</w:t>
          </w:r>
        </w:p>
        <w:p>
          <w:pPr>
            <w:pStyle w:val="TOC2"/>
            <w:ind w:left="360"/>
            <w:tabs>
              <w:tab w:val="right" w:leader="dot" w:pos="9026"/>
            </w:tabs>
            <w:spacing w:before="120" w:after="60"/>
          </w:pPr>
          <w:r>
            <w:t>4.4 Registre des décisions d'architecture</w:t>
          </w:r>
          <w:r>
            <w:tab/>
          </w:r>
          <w:r>
            <w:t>9</w:t>
          </w:r>
        </w:p>
        <w:p>
          <w:pPr>
            <w:pStyle w:val="TOC1"/>
            <w:tabs>
              <w:tab w:val="right" w:leader="dot" w:pos="9026"/>
            </w:tabs>
            <w:spacing w:before="120" w:after="60"/>
          </w:pPr>
          <w:r>
            <w:t>5. Exigences de sécurité</w:t>
          </w:r>
          <w:r>
            <w:tab/>
          </w:r>
          <w:r>
            <w:t>10</w:t>
          </w:r>
        </w:p>
        <w:p>
          <w:pPr>
            <w:pStyle w:val="TOC2"/>
            <w:ind w:left="360"/>
            <w:tabs>
              <w:tab w:val="right" w:leader="dot" w:pos="9026"/>
            </w:tabs>
            <w:spacing w:before="120" w:after="60"/>
          </w:pPr>
          <w:r>
            <w:t>5.1 Règles non négociables</w:t>
          </w:r>
          <w:r>
            <w:tab/>
          </w:r>
          <w:r>
            <w:t>10</w:t>
          </w:r>
        </w:p>
        <w:p>
          <w:pPr>
            <w:pStyle w:val="TOC2"/>
            <w:ind w:left="360"/>
            <w:tabs>
              <w:tab w:val="right" w:leader="dot" w:pos="9026"/>
            </w:tabs>
            <w:spacing w:before="120" w:after="60"/>
          </w:pPr>
          <w:r>
            <w:t>5.2 Arbitrage entre traçabilité et vie privée</w:t>
          </w:r>
          <w:r>
            <w:tab/>
          </w:r>
          <w:r>
            <w:t>11</w:t>
          </w:r>
        </w:p>
        <w:p>
          <w:pPr>
            <w:pStyle w:val="TOC2"/>
            <w:ind w:left="360"/>
            <w:tabs>
              <w:tab w:val="right" w:leader="dot" w:pos="9026"/>
            </w:tabs>
            <w:spacing w:before="120" w:after="60"/>
          </w:pPr>
          <w:r>
            <w:t>5.3 Protections techniques par risque</w:t>
          </w:r>
          <w:r>
            <w:tab/>
          </w:r>
          <w:r>
            <w:t>11</w:t>
          </w:r>
        </w:p>
        <w:p>
          <w:pPr>
            <w:pStyle w:val="TOC2"/>
            <w:ind w:left="360"/>
            <w:tabs>
              <w:tab w:val="right" w:leader="dot" w:pos="9026"/>
            </w:tabs>
            <w:spacing w:before="120" w:after="60"/>
          </w:pPr>
          <w:r>
            <w:t>5.4 Classification des opérations par niveau de risque</w:t>
          </w:r>
          <w:r>
            <w:tab/>
          </w:r>
          <w:r>
            <w:t>12</w:t>
          </w:r>
        </w:p>
        <w:p>
          <w:pPr>
            <w:pStyle w:val="TOC2"/>
            <w:ind w:left="360"/>
            <w:tabs>
              <w:tab w:val="right" w:leader="dot" w:pos="9026"/>
            </w:tabs>
            <w:spacing w:before="120" w:after="60"/>
          </w:pPr>
          <w:r>
            <w:t>5.5 Modèle de menaces simplifié et défenses par système</w:t>
          </w:r>
          <w:r>
            <w:tab/>
          </w:r>
          <w:r>
            <w:t>13</w:t>
          </w:r>
        </w:p>
        <w:p>
          <w:pPr>
            <w:pStyle w:val="TOC1"/>
            <w:tabs>
              <w:tab w:val="right" w:leader="dot" w:pos="9026"/>
            </w:tabs>
            <w:spacing w:before="120" w:after="60"/>
          </w:pPr>
          <w:r>
            <w:t>6. Moteur de nettoyage</w:t>
          </w:r>
          <w:r>
            <w:tab/>
          </w:r>
          <w:r>
            <w:t>13</w:t>
          </w:r>
        </w:p>
        <w:p>
          <w:pPr>
            <w:pStyle w:val="TOC2"/>
            <w:ind w:left="360"/>
            <w:tabs>
              <w:tab w:val="right" w:leader="dot" w:pos="9026"/>
            </w:tabs>
            <w:spacing w:before="120" w:after="60"/>
          </w:pPr>
          <w:r>
            <w:t>6.1 Pipeline d'exécution</w:t>
          </w:r>
          <w:r>
            <w:tab/>
          </w:r>
          <w:r>
            <w:t>13</w:t>
          </w:r>
        </w:p>
        <w:p>
          <w:pPr>
            <w:pStyle w:val="TOC2"/>
            <w:ind w:left="360"/>
            <w:tabs>
              <w:tab w:val="right" w:leader="dot" w:pos="9026"/>
            </w:tabs>
            <w:spacing w:before="120" w:after="60"/>
          </w:pPr>
          <w:r>
            <w:t>6.2 Contrat commun d'un nettoyeur</w:t>
          </w:r>
          <w:r>
            <w:tab/>
          </w:r>
          <w:r>
            <w:t>14</w:t>
          </w:r>
        </w:p>
        <w:p>
          <w:pPr>
            <w:pStyle w:val="TOC2"/>
            <w:ind w:left="360"/>
            <w:tabs>
              <w:tab w:val="right" w:leader="dot" w:pos="9026"/>
            </w:tabs>
            <w:spacing w:before="120" w:after="60"/>
          </w:pPr>
          <w:r>
            <w:t>6.3 Quarantaine minimale</w:t>
          </w:r>
          <w:r>
            <w:tab/>
          </w:r>
          <w:r>
            <w:t>15</w:t>
          </w:r>
        </w:p>
        <w:p>
          <w:pPr>
            <w:pStyle w:val="TOC2"/>
            <w:ind w:left="360"/>
            <w:tabs>
              <w:tab w:val="right" w:leader="dot" w:pos="9026"/>
            </w:tabs>
            <w:spacing w:before="120" w:after="60"/>
          </w:pPr>
          <w:r>
            <w:t>6.4 Versionnage et cycle de vie des règles</w:t>
          </w:r>
          <w:r>
            <w:tab/>
          </w:r>
          <w:r>
            <w:t>16</w:t>
          </w:r>
        </w:p>
        <w:p>
          <w:pPr>
            <w:pStyle w:val="TOC1"/>
            <w:tabs>
              <w:tab w:val="right" w:leader="dot" w:pos="9026"/>
            </w:tabs>
            <w:spacing w:before="120" w:after="60"/>
          </w:pPr>
          <w:r>
            <w:t>7. Diagnostic système avancé</w:t>
          </w:r>
          <w:r>
            <w:tab/>
          </w:r>
          <w:r>
            <w:t>16</w:t>
          </w:r>
        </w:p>
        <w:p>
          <w:pPr>
            <w:pStyle w:val="TOC2"/>
            <w:ind w:left="360"/>
            <w:tabs>
              <w:tab w:val="right" w:leader="dot" w:pos="9026"/>
            </w:tabs>
            <w:spacing w:before="120" w:after="60"/>
          </w:pPr>
          <w:r>
            <w:t>7.1 Analyse de stockage</w:t>
          </w:r>
          <w:r>
            <w:tab/>
          </w:r>
          <w:r>
            <w:t>16</w:t>
          </w:r>
        </w:p>
        <w:p>
          <w:pPr>
            <w:pStyle w:val="TOC2"/>
            <w:ind w:left="360"/>
            <w:tabs>
              <w:tab w:val="right" w:leader="dot" w:pos="9026"/>
            </w:tabs>
            <w:spacing w:before="120" w:after="60"/>
          </w:pPr>
          <w:r>
            <w:t>7.2 Analyse des fichiers et détection de doublons</w:t>
          </w:r>
          <w:r>
            <w:tab/>
          </w:r>
          <w:r>
            <w:t>16</w:t>
          </w:r>
        </w:p>
        <w:p>
          <w:pPr>
            <w:pStyle w:val="TOC2"/>
            <w:ind w:left="360"/>
            <w:tabs>
              <w:tab w:val="right" w:leader="dot" w:pos="9026"/>
            </w:tabs>
            <w:spacing w:before="120" w:after="60"/>
          </w:pPr>
          <w:r>
            <w:t>7.3 Suivi de l'évolution dans le temps</w:t>
          </w:r>
          <w:r>
            <w:tab/>
          </w:r>
          <w:r>
            <w:t>17</w:t>
          </w:r>
        </w:p>
        <w:p>
          <w:pPr>
            <w:pStyle w:val="TOC2"/>
            <w:ind w:left="360"/>
            <w:tabs>
              <w:tab w:val="right" w:leader="dot" w:pos="9026"/>
            </w:tabs>
            <w:spacing w:before="120" w:after="60"/>
          </w:pPr>
          <w:r>
            <w:t>7.4 Diagnostic orienté développeur</w:t>
          </w:r>
          <w:r>
            <w:tab/>
          </w:r>
          <w:r>
            <w:t>17</w:t>
          </w:r>
        </w:p>
        <w:p>
          <w:pPr>
            <w:pStyle w:val="TOC2"/>
            <w:ind w:left="360"/>
            <w:tabs>
              <w:tab w:val="right" w:leader="dot" w:pos="9026"/>
            </w:tabs>
            <w:spacing w:before="120" w:after="60"/>
          </w:pPr>
          <w:r>
            <w:t>7.5 Rapport explicable et honnêteté du diagnostic</w:t>
          </w:r>
          <w:r>
            <w:tab/>
          </w:r>
          <w:r>
            <w:t>17</w:t>
          </w:r>
        </w:p>
        <w:p>
          <w:pPr>
            <w:pStyle w:val="TOC1"/>
            <w:tabs>
              <w:tab w:val="right" w:leader="dot" w:pos="9026"/>
            </w:tabs>
            <w:spacing w:before="120" w:after="60"/>
          </w:pPr>
          <w:r>
            <w:t>8. Exigences non fonctionnelles</w:t>
          </w:r>
          <w:r>
            <w:tab/>
          </w:r>
          <w:r>
            <w:t>17</w:t>
          </w:r>
        </w:p>
        <w:p>
          <w:pPr>
            <w:pStyle w:val="TOC2"/>
            <w:ind w:left="360"/>
            <w:tabs>
              <w:tab w:val="right" w:leader="dot" w:pos="9026"/>
            </w:tabs>
            <w:spacing w:before="120" w:after="60"/>
          </w:pPr>
          <w:r>
            <w:t>8.1 Budgets de performance</w:t>
          </w:r>
          <w:r>
            <w:tab/>
          </w:r>
          <w:r>
            <w:t>18</w:t>
          </w:r>
        </w:p>
        <w:p>
          <w:pPr>
            <w:pStyle w:val="TOC2"/>
            <w:ind w:left="360"/>
            <w:tabs>
              <w:tab w:val="right" w:leader="dot" w:pos="9026"/>
            </w:tabs>
            <w:spacing w:before="120" w:after="60"/>
          </w:pPr>
          <w:r>
            <w:t>8.2 Confidentialité : traitement strictement local</w:t>
          </w:r>
          <w:r>
            <w:tab/>
          </w:r>
          <w:r>
            <w:t>18</w:t>
          </w:r>
        </w:p>
        <w:p>
          <w:pPr>
            <w:pStyle w:val="TOC2"/>
            <w:ind w:left="360"/>
            <w:tabs>
              <w:tab w:val="right" w:leader="dot" w:pos="9026"/>
            </w:tabs>
            <w:spacing w:before="120" w:after="60"/>
          </w:pPr>
          <w:r>
            <w:t>8.3 Internationalisation dès la première version</w:t>
          </w:r>
          <w:r>
            <w:tab/>
          </w:r>
          <w:r>
            <w:t>18</w:t>
          </w:r>
        </w:p>
        <w:p>
          <w:pPr>
            <w:pStyle w:val="TOC1"/>
            <w:tabs>
              <w:tab w:val="right" w:leader="dot" w:pos="9026"/>
            </w:tabs>
            <w:spacing w:before="120" w:after="60"/>
          </w:pPr>
          <w:r>
            <w:t>9. Plan de développement sur douze semaines</w:t>
          </w:r>
          <w:r>
            <w:tab/>
          </w:r>
          <w:r>
            <w:t>19</w:t>
          </w:r>
        </w:p>
        <w:p>
          <w:pPr>
            <w:pStyle w:val="TOC1"/>
            <w:tabs>
              <w:tab w:val="right" w:leader="dot" w:pos="9026"/>
            </w:tabs>
            <w:spacing w:before="120" w:after="60"/>
          </w:pPr>
          <w:r>
            <w:t>10. Critères d'acceptation du MVP</w:t>
          </w:r>
          <w:r>
            <w:tab/>
          </w:r>
          <w:r>
            <w:t>19</w:t>
          </w:r>
        </w:p>
        <w:p>
          <w:pPr>
            <w:pStyle w:val="TOC2"/>
            <w:ind w:left="360"/>
            <w:tabs>
              <w:tab w:val="right" w:leader="dot" w:pos="9026"/>
            </w:tabs>
            <w:spacing w:before="120" w:after="60"/>
          </w:pPr>
          <w:r>
            <w:t>10.1 Critères fonctionnels et de sécurité</w:t>
          </w:r>
          <w:r>
            <w:tab/>
          </w:r>
          <w:r>
            <w:t>19</w:t>
          </w:r>
        </w:p>
        <w:p>
          <w:pPr>
            <w:pStyle w:val="TOC2"/>
            <w:ind w:left="360"/>
            <w:tabs>
              <w:tab w:val="right" w:leader="dot" w:pos="9026"/>
            </w:tabs>
            <w:spacing w:before="120" w:after="60"/>
          </w:pPr>
          <w:r>
            <w:t>10.2 Campagne de tests des cas limites et critères de blocage</w:t>
          </w:r>
          <w:r>
            <w:tab/>
          </w:r>
          <w:r>
            <w:t>20</w:t>
          </w:r>
        </w:p>
        <w:p>
          <w:pPr>
            <w:pStyle w:val="TOC1"/>
            <w:tabs>
              <w:tab w:val="right" w:leader="dot" w:pos="9026"/>
            </w:tabs>
            <w:spacing w:before="120" w:after="60"/>
          </w:pPr>
          <w:r>
            <w:t>11. Organisation du dépôt GitHub et historique de développement</w:t>
          </w:r>
          <w:r>
            <w:tab/>
          </w:r>
          <w:r>
            <w:t>20</w:t>
          </w:r>
        </w:p>
        <w:p>
          <w:pPr>
            <w:pStyle w:val="TOC1"/>
            <w:tabs>
              <w:tab w:val="right" w:leader="dot" w:pos="9026"/>
            </w:tabs>
            <w:spacing w:before="120" w:after="60"/>
          </w:pPr>
          <w:r>
            <w:t>12. Risques identifiés et décisions à prendre tôt</w:t>
          </w:r>
          <w:r>
            <w:tab/>
          </w:r>
          <w:r>
            <w:t>21</w:t>
          </w:r>
        </w:p>
        <w:p>
          <w:pPr>
            <w:pStyle w:val="TOC1"/>
            <w:tabs>
              <w:tab w:val="right" w:leader="dot" w:pos="9026"/>
            </w:tabs>
            <w:spacing w:before="120" w:after="60"/>
          </w:pPr>
          <w:r>
            <w:t>13. Prochaine étape : le scanner en lecture seule</w:t>
          </w:r>
          <w:r>
            <w:tab/>
          </w:r>
          <w:r>
            <w:t>21</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Remarque : cette table des matières est générée par un champ. Après toute modification du document, cliquez droit sur la table puis choisissez « Mettre à jour les champs » pour actualiser la pagination.</w:t>
      </w:r>
    </w:p>
    <w:p>
      <w:pPr>
        <w:pStyle w:val="Heading1"/>
        <w:keepNext/>
        <w:spacing w:after="160" w:before="360" w:line="312"/>
        <w:jc w:val="center"/>
      </w:pPr>
      <w:bookmarkStart w:name="_Toc1" w:id="1"/>
      <w:r>
        <w:rPr>
          <w:rFonts w:ascii="Times New Roman" w:eastAsia="SimHei"/>
          <w:b/>
          <w:bCs/>
          <w:color w:val="16384F"/>
          <w:sz w:val="32"/>
          <w:szCs w:val="32"/>
        </w:rPr>
        <w:t xml:space="preserve">Résumé exécutif</w:t>
      </w:r>
      <w:bookmarkEnd w:id="1"/>
    </w:p>
    <w:p>
      <w:pPr>
        <w:spacing w:after="120" w:line="312"/>
        <w:jc w:val="both"/>
      </w:pPr>
      <w:r>
        <w:rPr>
          <w:rFonts w:ascii="Times New Roman" w:eastAsia="SimSun"/>
          <w:color w:val="000000"/>
          <w:sz w:val="24"/>
          <w:szCs w:val="24"/>
        </w:rPr>
        <w:t xml:space="preserve">Ce document définit le cadre technique de NettOS, un logiciel libre de diagnostic, de maintenance et de nettoyage système pour Linux et Windows. Il précise la vision du projet, le périmètre de sa première version exploitable (MVP), les choix technologiques, l'architecture logicielle, les exigences de sécurité, les budgets de performance, le plan de développement et les critères d'acceptation. Il s'adresse aux contributeurs actuels et futurs ainsi qu'à tout utilisateur avancé souhaitant comprendre ce que le logiciel fait, ce qu'il ne fait pas, et pourquoi.</w:t>
      </w:r>
    </w:p>
    <w:p>
      <w:pPr>
        <w:spacing w:after="120" w:line="312"/>
        <w:jc w:val="both"/>
      </w:pPr>
      <w:r>
        <w:rPr>
          <w:rFonts w:ascii="Times New Roman" w:eastAsia="SimSun"/>
          <w:color w:val="000000"/>
          <w:sz w:val="24"/>
          <w:szCs w:val="24"/>
        </w:rPr>
        <w:t xml:space="preserve">Le positionnement de NettOS est volontairement opposé à celui des nettoyeurs commerciaux classiques : le logiciel diagnostique avant d'agir, n'exécute aucune suppression sans simulation puis confirmation explicite, et refuse tout score de « vitesse » artificiel. La qualité du produit se mesure à la pertinence de ses diagnostics, à la sécurité de ses opérations et à la fiabilité de ses résultats. Chaque recommandation doit être explicable par une observation et une preuve mesurable, et le logiciel doit savoir répondre « inconnu » lorsqu'il ne peut pas conclure.</w:t>
      </w:r>
    </w:p>
    <w:p>
      <w:pPr>
        <w:spacing w:after="120" w:line="312"/>
        <w:jc w:val="both"/>
      </w:pPr>
      <w:r>
        <w:rPr>
          <w:rFonts w:ascii="Times New Roman" w:eastAsia="SimSun"/>
          <w:color w:val="000000"/>
          <w:sz w:val="24"/>
          <w:szCs w:val="24"/>
        </w:rPr>
        <w:t xml:space="preserve">Cette version 1.1 consolide le cadrage initial (v1.0) : rédaction adoptant une voix neutre et impersonnelle, critères de succès rendus mesurables, calendrier révisé à douze semaines pour absorber le packaging et les tests Windows réels, modèle de menaces et défenses spécifiques par système d'exploitation, quarantaine minimale, mode ligne de commande, exigences non fonctionnelles chiffrées, internationalisation anticipée et licence GNU GPL-3.0 arrêtée. Le périmètre fonctionnel du MVP demeure inchangé, enrichi de la quarantaine et de la ligne de commande.</w:t>
      </w:r>
    </w:p>
    <w:p>
      <w:pPr>
        <w:pStyle w:val="Heading1"/>
        <w:keepNext/>
        <w:spacing w:after="160" w:before="360" w:line="312"/>
        <w:jc w:val="center"/>
      </w:pPr>
      <w:bookmarkStart w:name="_Toc2" w:id="2"/>
      <w:r>
        <w:rPr>
          <w:rFonts w:ascii="Times New Roman" w:eastAsia="SimHei"/>
          <w:b/>
          <w:bCs/>
          <w:color w:val="16384F"/>
          <w:sz w:val="32"/>
          <w:szCs w:val="32"/>
        </w:rPr>
        <w:t xml:space="preserve">1. Présentation du projet, vision et objectifs</w:t>
      </w:r>
      <w:bookmarkEnd w:id="2"/>
    </w:p>
    <w:p>
      <w:pPr>
        <w:pStyle w:val="Heading2"/>
        <w:keepNext/>
        <w:spacing w:after="120" w:before="240" w:line="312"/>
        <w:jc w:val="left"/>
      </w:pPr>
      <w:bookmarkStart w:name="_Toc3" w:id="3"/>
      <w:r>
        <w:rPr>
          <w:rFonts w:ascii="Times New Roman" w:eastAsia="SimHei"/>
          <w:b/>
          <w:bCs/>
          <w:color w:val="16384F"/>
          <w:sz w:val="30"/>
          <w:szCs w:val="30"/>
        </w:rPr>
        <w:t xml:space="preserve">1.1 Vision : diagnostiquer avant d'agir</w:t>
      </w:r>
      <w:bookmarkEnd w:id="3"/>
    </w:p>
    <w:p>
      <w:pPr>
        <w:spacing w:after="120" w:line="312"/>
        <w:jc w:val="both"/>
      </w:pPr>
      <w:r>
        <w:rPr>
          <w:rFonts w:ascii="Times New Roman" w:eastAsia="SimSun"/>
          <w:color w:val="000000"/>
          <w:sz w:val="24"/>
          <w:szCs w:val="24"/>
        </w:rPr>
        <w:t xml:space="preserve">NettOS est conçu comme un outil de diagnostic, de maintenance et de nettoyage système multiplateforme, et non comme un simple effaceur de caches. L'ambition est de produire un logiciel léger, fiable et extensible, capable d'expliquer ce qui occupe le stockage, d'identifier les possibilités de récupération d'espace, de repérer certaines anomalies et de proposer des opérations adaptées au système d'exploitation utilisé. Le logiciel s'adresse à des personnes qui veulent comprendre leur machine, pas seulement la « nettoyer ».</w:t>
      </w:r>
    </w:p>
    <w:p>
      <w:pPr>
        <w:spacing w:after="120" w:line="312"/>
        <w:jc w:val="both"/>
      </w:pPr>
      <w:r>
        <w:rPr>
          <w:rFonts w:ascii="Times New Roman" w:eastAsia="SimSun"/>
          <w:color w:val="000000"/>
          <w:sz w:val="24"/>
          <w:szCs w:val="24"/>
        </w:rPr>
        <w:t xml:space="preserve">Ce choix de positionnement a une conséquence directe sur toutes les décisions de conception : chaque fonction commence par observer et expliquer, et les actions destructrices restent des cas particuliers strictement encadrés. Un diagnostic sans suppression est déjà une valeur ajoutée ; une suppression mal ciblée détruit la confiance de façon irréversible. L'ordre des priorités est donc explicite : d'abord mesurer, ensuite expliquer, enfin — et seulement avec l'accord explicite de l'utilisateur — agir.</w:t>
      </w:r>
    </w:p>
    <w:p>
      <w:pPr>
        <w:pStyle w:val="Heading2"/>
        <w:keepNext/>
        <w:spacing w:after="120" w:before="240" w:line="312"/>
        <w:jc w:val="left"/>
      </w:pPr>
      <w:bookmarkStart w:name="_Toc4" w:id="4"/>
      <w:r>
        <w:rPr>
          <w:rFonts w:ascii="Times New Roman" w:eastAsia="SimHei"/>
          <w:b/>
          <w:bCs/>
          <w:color w:val="16384F"/>
          <w:sz w:val="30"/>
          <w:szCs w:val="30"/>
        </w:rPr>
        <w:t xml:space="preserve">1.2 Objectifs qualité et mesure du succès</w:t>
      </w:r>
      <w:bookmarkEnd w:id="4"/>
    </w:p>
    <w:p>
      <w:pPr>
        <w:spacing w:after="120" w:line="312"/>
        <w:jc w:val="both"/>
      </w:pPr>
      <w:r>
        <w:rPr>
          <w:rFonts w:ascii="Times New Roman" w:eastAsia="SimSun"/>
          <w:color w:val="000000"/>
          <w:sz w:val="24"/>
          <w:szCs w:val="24"/>
        </w:rPr>
        <w:t xml:space="preserve">Quatre objectifs structurent le projet et délimitent ce que le produit cherche à démontrer :</w:t>
      </w:r>
    </w:p>
    <w:p>
      <w:pPr>
        <w:pStyle w:val="ListParagraph"/>
        <w:numPr>
          <w:ilvl w:val="0"/>
          <w:numId w:val="1"/>
        </w:numPr>
        <w:spacing w:after="80" w:line="312"/>
        <w:jc w:val="left"/>
      </w:pPr>
      <w:r>
        <w:rPr>
          <w:rFonts w:ascii="Times New Roman" w:eastAsia="SimSun"/>
          <w:color w:val="000000"/>
          <w:sz w:val="24"/>
          <w:szCs w:val="24"/>
        </w:rPr>
        <w:t xml:space="preserve">Diagnostiquer avant d'agir : cartographier le stockage, identifier les caches, les fichiers temporaires, les journaux volumineux et les répertoires qui croissent anormalement.</w:t>
      </w:r>
    </w:p>
    <w:p>
      <w:pPr>
        <w:pStyle w:val="ListParagraph"/>
        <w:numPr>
          <w:ilvl w:val="0"/>
          <w:numId w:val="1"/>
        </w:numPr>
        <w:spacing w:after="80" w:line="312"/>
        <w:jc w:val="left"/>
      </w:pPr>
      <w:r>
        <w:rPr>
          <w:rFonts w:ascii="Times New Roman" w:eastAsia="SimSun"/>
          <w:color w:val="000000"/>
          <w:sz w:val="24"/>
          <w:szCs w:val="24"/>
        </w:rPr>
        <w:t xml:space="preserve">Nettoyer sans compromettre le système : évaluer les risques, exclure les emplacements sensibles et exiger une validation explicite avant toute suppression.</w:t>
      </w:r>
    </w:p>
    <w:p>
      <w:pPr>
        <w:pStyle w:val="ListParagraph"/>
        <w:numPr>
          <w:ilvl w:val="0"/>
          <w:numId w:val="1"/>
        </w:numPr>
        <w:spacing w:after="80" w:line="312"/>
        <w:jc w:val="left"/>
      </w:pPr>
      <w:r>
        <w:rPr>
          <w:rFonts w:ascii="Times New Roman" w:eastAsia="SimSun"/>
          <w:color w:val="000000"/>
          <w:sz w:val="24"/>
          <w:szCs w:val="24"/>
        </w:rPr>
        <w:t xml:space="preserve">Détecter les anomalies : signaler les variations importantes de stockage, les fichiers inhabituels par leur taille et les caches qui grossissent excessivement, sans prétendre détecter toutes les causes d'un ralentissement.</w:t>
      </w:r>
    </w:p>
    <w:p>
      <w:pPr>
        <w:pStyle w:val="ListParagraph"/>
        <w:numPr>
          <w:ilvl w:val="0"/>
          <w:numId w:val="1"/>
        </w:numPr>
        <w:spacing w:after="80" w:line="312"/>
        <w:jc w:val="left"/>
      </w:pPr>
      <w:r>
        <w:rPr>
          <w:rFonts w:ascii="Times New Roman" w:eastAsia="SimSun"/>
          <w:color w:val="000000"/>
          <w:sz w:val="24"/>
          <w:szCs w:val="24"/>
        </w:rPr>
        <w:t xml:space="preserve">Évoluer sans réécriture : ajouter des nettoyeurs, des diagnostics et des adaptateurs propres à chaque système d'exploitation sans modifier le cœur de l'application.</w:t>
      </w:r>
    </w:p>
    <w:p>
      <w:pPr>
        <w:spacing w:after="120" w:line="312"/>
        <w:jc w:val="both"/>
      </w:pPr>
      <w:r>
        <w:rPr>
          <w:rFonts w:ascii="Times New Roman" w:eastAsia="SimSun"/>
          <w:color w:val="000000"/>
          <w:sz w:val="24"/>
          <w:szCs w:val="24"/>
        </w:rPr>
        <w:t xml:space="preserve">La qualité de NettOS se mesurera à la pertinence de ses diagnostics, à la sécurité de ses opérations et à la fiabilité de ses résultats — jamais au nombre de fichiers supprimés ni à un score artificiel de « vitesse ». Pour que cette exigence soit vérifiable et non déclarative, la présente version 1.1 la décline en critères mesurables : budgets de performance chiffrés (section 8.1), exigence d'explicabilité de chaque recommandation (section 7.5), obligation de signaler toute erreur au lieu de la masquer, et campagne de sécurité dont le critère d'arrêt est un taux de suppression hors liste d'autorisation strictement nul (section 10.2). Un diagnostic qui ne peut pas conclure doit répondre « inconnu » plutôt que d'avancer une cause spéculative.</w:t>
      </w:r>
    </w:p>
    <w:p>
      <w:pPr>
        <w:pStyle w:val="Heading2"/>
        <w:keepNext/>
        <w:spacing w:after="120" w:before="240" w:line="312"/>
        <w:jc w:val="left"/>
      </w:pPr>
      <w:bookmarkStart w:name="_Toc5" w:id="5"/>
      <w:r>
        <w:rPr>
          <w:rFonts w:ascii="Times New Roman" w:eastAsia="SimHei"/>
          <w:b/>
          <w:bCs/>
          <w:color w:val="16384F"/>
          <w:sz w:val="30"/>
          <w:szCs w:val="30"/>
        </w:rPr>
        <w:t xml:space="preserve">1.3 Public cible</w:t>
      </w:r>
      <w:bookmarkEnd w:id="5"/>
    </w:p>
    <w:p>
      <w:pPr>
        <w:spacing w:after="120" w:line="312"/>
        <w:jc w:val="both"/>
      </w:pPr>
      <w:r>
        <w:rPr>
          <w:rFonts w:ascii="Times New Roman" w:eastAsia="SimSun"/>
          <w:color w:val="000000"/>
          <w:sz w:val="24"/>
          <w:szCs w:val="24"/>
        </w:rPr>
        <w:t xml:space="preserve">Le projet vise trois profils d'utilisateurs, dont les besoins façonnent directement les fonctionnalités prioritaires :</w:t>
      </w:r>
    </w:p>
    <w:p>
      <w:pPr>
        <w:pStyle w:val="ListParagraph"/>
        <w:numPr>
          <w:ilvl w:val="0"/>
          <w:numId w:val="1"/>
        </w:numPr>
        <w:spacing w:after="80" w:line="312"/>
        <w:jc w:val="left"/>
      </w:pPr>
      <w:r>
        <w:rPr>
          <w:rFonts w:ascii="Times New Roman" w:eastAsia="SimSun"/>
          <w:color w:val="000000"/>
          <w:sz w:val="24"/>
          <w:szCs w:val="24"/>
        </w:rPr>
        <w:t xml:space="preserve">Les utilisateurs de Linux et Windows qui veulent mieux comprendre leur stockage et disposer d'un diagnostic honnête de leur machine.</w:t>
      </w:r>
    </w:p>
    <w:p>
      <w:pPr>
        <w:pStyle w:val="ListParagraph"/>
        <w:numPr>
          <w:ilvl w:val="0"/>
          <w:numId w:val="1"/>
        </w:numPr>
        <w:spacing w:after="80" w:line="312"/>
        <w:jc w:val="left"/>
      </w:pPr>
      <w:r>
        <w:rPr>
          <w:rFonts w:ascii="Times New Roman" w:eastAsia="SimSun"/>
          <w:color w:val="000000"/>
          <w:sz w:val="24"/>
          <w:szCs w:val="24"/>
        </w:rPr>
        <w:t xml:space="preserve">Les développeurs, qui accumulent caches, environnements virtuels et artefacts de compilation, et pour qui des règles de nettoyage spécifiques et sûres représentent un gain quotidien.</w:t>
      </w:r>
    </w:p>
    <w:p>
      <w:pPr>
        <w:pStyle w:val="ListParagraph"/>
        <w:numPr>
          <w:ilvl w:val="0"/>
          <w:numId w:val="1"/>
        </w:numPr>
        <w:spacing w:after="80" w:line="312"/>
        <w:jc w:val="left"/>
      </w:pPr>
      <w:r>
        <w:rPr>
          <w:rFonts w:ascii="Times New Roman" w:eastAsia="SimSun"/>
          <w:color w:val="000000"/>
          <w:sz w:val="24"/>
          <w:szCs w:val="24"/>
        </w:rPr>
        <w:t xml:space="preserve">Les utilisateurs avancés, qui attendent des rapports de diagnostic fiables, un mode d'automatisation contrôlé et des opérations traçables.</w:t>
      </w:r>
    </w:p>
    <w:p>
      <w:pPr>
        <w:spacing w:after="120" w:line="312"/>
        <w:jc w:val="both"/>
      </w:pPr>
      <w:r>
        <w:rPr>
          <w:rFonts w:ascii="Times New Roman" w:eastAsia="SimSun"/>
          <w:color w:val="000000"/>
          <w:sz w:val="24"/>
          <w:szCs w:val="24"/>
        </w:rPr>
        <w:t xml:space="preserve">L'interface reste volontairement sobre : tableaux, filtres, fenêtres de confirmation et navigation classique. Cette sobriété n'est pas une limite provisoire mais un choix durable : la valeur du produit réside dans la justesse du diagnostic, pas dans la densité graphique de l'interface. Les évolutions d'interface (alertes configurables, profils avancés) ne seront envisagées qu'une fois le socle validé.</w:t>
      </w:r>
    </w:p>
    <w:p>
      <w:pPr>
        <w:pStyle w:val="Heading2"/>
        <w:keepNext/>
        <w:spacing w:after="120" w:before="240" w:line="312"/>
        <w:jc w:val="left"/>
      </w:pPr>
      <w:bookmarkStart w:name="_Toc6" w:id="6"/>
      <w:r>
        <w:rPr>
          <w:rFonts w:ascii="Times New Roman" w:eastAsia="SimHei"/>
          <w:b/>
          <w:bCs/>
          <w:color w:val="16384F"/>
          <w:sz w:val="30"/>
          <w:szCs w:val="30"/>
        </w:rPr>
        <w:t xml:space="preserve">1.4 Non-objectifs permanents</w:t>
      </w:r>
      <w:bookmarkEnd w:id="6"/>
    </w:p>
    <w:p>
      <w:pPr>
        <w:spacing w:after="120" w:line="312"/>
        <w:jc w:val="both"/>
      </w:pPr>
      <w:r>
        <w:rPr>
          <w:rFonts w:ascii="Times New Roman" w:eastAsia="SimSun"/>
          <w:color w:val="000000"/>
          <w:sz w:val="24"/>
          <w:szCs w:val="24"/>
        </w:rPr>
        <w:t xml:space="preserve">Au-delà des exclusions du MVP, certains retraits sont définitifs car ils définissent l'identité du logiciel. NettOS ne deviendra ni un nettoyeur de registre Windows, ni un optimisateur de mémoire vive, ni un « accélérateur » produisant un score de propreté, ni un logiciel collectant des données d'usage à l'insu de l'utilisateur, ni un moteur exécutant des règles téléchargées dynamiquement sans revue. Cette liste d'interdits permanents protège le projet contre la dérive fonctionnelle la plus fréquente du domaine : transformer un outil de diagnostic en placebo marketing.</w:t>
      </w:r>
    </w:p>
    <w:p>
      <w:pPr>
        <w:spacing w:after="120" w:line="312"/>
        <w:jc w:val="both"/>
      </w:pPr>
      <w:r>
        <w:rPr>
          <w:rFonts w:ascii="Times New Roman" w:eastAsia="SimSun"/>
          <w:color w:val="000000"/>
          <w:sz w:val="24"/>
          <w:szCs w:val="24"/>
        </w:rPr>
        <w:t xml:space="preserve">Ces non-objectifs permanents s'appliquent aussi aux évolutions ultérieures : ils ne peuvent être remis en cause que par une décision explicite et documentée au titre du registre des décisions d'architecture (section 4.4), jamais par l'ajout silencieux d'une fonctionnalité. C'est la condition pour que la promesse faite aux utilisateurs reste tenable dans la durée.</w:t>
      </w:r>
    </w:p>
    <w:p>
      <w:pPr>
        <w:pStyle w:val="Heading2"/>
        <w:keepNext/>
        <w:spacing w:after="120" w:before="240" w:line="312"/>
        <w:jc w:val="left"/>
      </w:pPr>
      <w:bookmarkStart w:name="_Toc7" w:id="7"/>
      <w:r>
        <w:rPr>
          <w:rFonts w:ascii="Times New Roman" w:eastAsia="SimHei"/>
          <w:b/>
          <w:bCs/>
          <w:color w:val="16384F"/>
          <w:sz w:val="30"/>
          <w:szCs w:val="30"/>
        </w:rPr>
        <w:t xml:space="preserve">1.5 Licence et gouvernance du projet</w:t>
      </w:r>
      <w:bookmarkEnd w:id="7"/>
    </w:p>
    <w:p>
      <w:pPr>
        <w:spacing w:after="120" w:line="312"/>
        <w:jc w:val="both"/>
      </w:pPr>
      <w:r>
        <w:rPr>
          <w:rFonts w:ascii="Times New Roman" w:eastAsia="SimSun"/>
          <w:color w:val="000000"/>
          <w:sz w:val="24"/>
          <w:szCs w:val="24"/>
        </w:rPr>
        <w:t xml:space="preserve">Le projet est distribué sous licence </w:t>
      </w:r>
      <w:r>
        <w:rPr>
          <w:rFonts w:ascii="Times New Roman" w:eastAsia="SimSun"/>
          <w:b/>
          <w:bCs/>
          <w:color w:val="000000"/>
          <w:sz w:val="24"/>
          <w:szCs w:val="24"/>
        </w:rPr>
        <w:t xml:space="preserve">GNU GPL-3.0</w:t>
      </w:r>
      <w:r>
        <w:rPr>
          <w:rFonts w:ascii="Times New Roman" w:eastAsia="SimSun"/>
          <w:color w:val="000000"/>
          <w:sz w:val="24"/>
          <w:szCs w:val="24"/>
        </w:rPr>
        <w:t xml:space="preserve">. Ce choix découle de la nature de l'outil : un logiciel qui examine le disque et supprime des fichiers doit pouvoir être audité par ceux qui l'exécutent. Le copyleft fort garantit que toute version modifiée reste elle aussi libre, empêche la création de forks propriétaires fermés et aligne la gouvernance du projet avec son exigence de transparence. Les dépendances retenues seront vérifiées pour leur compatibilité avec cette licence, et le fichier LICENSE ainsi que les en-têtes SPDX seront présents dès la première publication.</w:t>
      </w:r>
    </w:p>
    <w:p>
      <w:pPr>
        <w:spacing w:after="120" w:line="312"/>
        <w:jc w:val="both"/>
      </w:pPr>
      <w:r>
        <w:rPr>
          <w:rFonts w:ascii="Times New Roman" w:eastAsia="SimSun"/>
          <w:color w:val="000000"/>
          <w:sz w:val="24"/>
          <w:szCs w:val="24"/>
        </w:rPr>
        <w:t xml:space="preserve">La gouvernance repose sur des pratiques légères adaptées à un projet solo ouvert : versionnage sémantique des publications, journal des modifications tenu à chaque version, et consignation des décisions structurantes dans le registre des décisions d'architecture. Ces mécanismes visent à rendre le projet compréhensible et rejoignable par des contributeurs externes sans réunion ni processus lourd.</w:t>
      </w:r>
    </w:p>
    <w:p>
      <w:pPr>
        <w:pStyle w:val="Heading1"/>
        <w:keepNext/>
        <w:spacing w:after="160" w:before="360" w:line="312"/>
        <w:jc w:val="center"/>
      </w:pPr>
      <w:bookmarkStart w:name="_Toc8" w:id="8"/>
      <w:r>
        <w:rPr>
          <w:rFonts w:ascii="Times New Roman" w:eastAsia="SimHei"/>
          <w:b/>
          <w:bCs/>
          <w:color w:val="16384F"/>
          <w:sz w:val="32"/>
          <w:szCs w:val="32"/>
        </w:rPr>
        <w:t xml:space="preserve">2. Périmètre fonctionnel</w:t>
      </w:r>
      <w:bookmarkEnd w:id="8"/>
    </w:p>
    <w:p>
      <w:pPr>
        <w:pStyle w:val="Heading2"/>
        <w:keepNext/>
        <w:spacing w:after="120" w:before="240" w:line="312"/>
        <w:jc w:val="left"/>
      </w:pPr>
      <w:bookmarkStart w:name="_Toc9" w:id="9"/>
      <w:r>
        <w:rPr>
          <w:rFonts w:ascii="Times New Roman" w:eastAsia="SimHei"/>
          <w:b/>
          <w:bCs/>
          <w:color w:val="16384F"/>
          <w:sz w:val="30"/>
          <w:szCs w:val="30"/>
        </w:rPr>
        <w:t xml:space="preserve">2.1 Frontière entre MVP et évolutions ultérieures</w:t>
      </w:r>
      <w:bookmarkEnd w:id="9"/>
    </w:p>
    <w:p>
      <w:pPr>
        <w:spacing w:after="120" w:line="312"/>
        <w:jc w:val="both"/>
      </w:pPr>
      <w:r>
        <w:rPr>
          <w:rFonts w:ascii="Times New Roman" w:eastAsia="SimSun"/>
          <w:color w:val="000000"/>
          <w:sz w:val="24"/>
          <w:szCs w:val="24"/>
        </w:rPr>
        <w:t xml:space="preserve">Le périmètre distingue clairement ce qui est indispensable au lancement de ce qui viendra après stabilisation. Le tableau ci-dessous fixe cette frontière par domaine fonctionnel ; il constitue la référence pour évaluer toute nouvelle proposition de fonctionnalité.</w:t>
      </w:r>
    </w:p>
    <w:p>
      <w:pPr>
        <w:keepNext/>
        <w:spacing w:after="100" w:before="240" w:line="312"/>
        <w:jc w:val="left"/>
      </w:pPr>
      <w:r>
        <w:rPr>
          <w:rFonts w:ascii="Times New Roman" w:eastAsia="SimSun"/>
          <w:b/>
          <w:bCs/>
          <w:color w:val="16384F"/>
          <w:sz w:val="21"/>
          <w:szCs w:val="21"/>
        </w:rPr>
        <w:t xml:space="preserve">Tableau 1 — Périmètre du MVP et évolutions ultérieures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758"/>
        <w:gridCol w:w="3603"/>
        <w:gridCol w:w="3427"/>
      </w:tblGrid>
      <w:tr>
        <w:trPr>
          <w:cantSplit/>
          <w:tblHeader/>
        </w:trPr>
        <w:tc>
          <w:tcPr>
            <w:tcW w:type="pct" w:w="10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Domaine</w:t>
            </w:r>
          </w:p>
        </w:tc>
        <w:tc>
          <w:tcPr>
            <w:tcW w:type="pct" w:w="20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MVP — première version exploitable</w:t>
            </w:r>
          </w:p>
        </w:tc>
        <w:tc>
          <w:tcPr>
            <w:tcW w:type="pct" w:w="19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Évolutions ultérieures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Diagnostic stockage</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Volumes, espace libre, occupation par répertoire</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Historique, évolution et alertes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Analyse de fichiers</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Taille, âge, catégorie, exclusions</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Détection avancée des doublons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Nettoyage</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Caches et temporaires explicitement autorisés</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Planification et politiques personnalisées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Sécurité</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Simulation, confirmation, journal d'audit, quarantaine minimale</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Restauration étendue et politiques avancées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Diagnostic système</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Informations OS, espace disque, journaux ciblés</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Diagnostics plus poussés selon l'OS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Développeur</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Détection des caches d'outils connus</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Analyse plus fine des projets et artefacts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Rapports</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Résumé avant/après et erreurs</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Export JSON/CSV et comparaisons historiques</w:t>
            </w:r>
          </w:p>
        </w:tc>
      </w:tr>
      <w:tr>
        <w:trPr>
          <w:cantSplit/>
        </w:trPr>
        <w:tc>
          <w:tcPr>
            <w:tcW w:type="pct" w:w="1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w:t>
            </w:r>
          </w:p>
        </w:tc>
        <w:tc>
          <w:tcPr>
            <w:tcW w:type="pct" w:w="20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Tableau de bord, résultats, détails, paramètres et ligne de commande</w:t>
            </w:r>
          </w:p>
        </w:tc>
        <w:tc>
          <w:tcPr>
            <w:tcW w:type="pct" w:w="1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Alertes configurables et profils avancés</w:t>
            </w:r>
          </w:p>
        </w:tc>
      </w:tr>
    </w:tbl>
    <w:p>
      <w:pPr>
        <w:spacing w:after="120" w:line="312"/>
        <w:jc w:val="both"/>
      </w:pPr>
      <w:r>
        <w:rPr>
          <w:rFonts w:ascii="Times New Roman" w:eastAsia="SimSun"/>
          <w:color w:val="000000"/>
          <w:sz w:val="24"/>
          <w:szCs w:val="24"/>
        </w:rPr>
        <w:t xml:space="preserve">Les évolutions listées ne constituent pas des promesses de feuille de route mais des pistes réévaluées après validation du MVP. La quarantaine minimale et la ligne de commande, intégrées au MVP dans la présente version, reflètent les arbitrages de la révision 1.1 (sections 2.3 et 6.3) : elles répondent à des besoins de testabilité et de récupérabilité jugés indissociables du concept de nettoyeur sûr.</w:t>
      </w:r>
    </w:p>
    <w:p>
      <w:pPr>
        <w:pStyle w:val="Heading2"/>
        <w:keepNext/>
        <w:spacing w:after="120" w:before="240" w:line="312"/>
        <w:jc w:val="left"/>
      </w:pPr>
      <w:bookmarkStart w:name="_Toc10" w:id="10"/>
      <w:r>
        <w:rPr>
          <w:rFonts w:ascii="Times New Roman" w:eastAsia="SimHei"/>
          <w:b/>
          <w:bCs/>
          <w:color w:val="16384F"/>
          <w:sz w:val="30"/>
          <w:szCs w:val="30"/>
        </w:rPr>
        <w:t xml:space="preserve">2.2 Fonctions explicitement exclues du MVP</w:t>
      </w:r>
      <w:bookmarkEnd w:id="10"/>
    </w:p>
    <w:p>
      <w:pPr>
        <w:spacing w:after="120" w:line="312"/>
        <w:jc w:val="both"/>
      </w:pPr>
      <w:r>
        <w:rPr>
          <w:rFonts w:ascii="Times New Roman" w:eastAsia="SimSun"/>
          <w:color w:val="000000"/>
          <w:sz w:val="24"/>
          <w:szCs w:val="24"/>
        </w:rPr>
        <w:t xml:space="preserve">Sont exclus du MVP : le nettoyage automatique du registre Windows, la modification de services, la suppression de pilotes, la défragmentation, l'« optimisation » de la mémoire vive, la suppression automatique d'applications ainsi que toute fonctionnalité d'intelligence artificielle nécessitant un service distant. Ces fonctions augmenteraient les risques ou la complexité sans être nécessaires pour valider le concept, et plusieurs d'entre elles contredisent directement les non-objectifs permanents définis en section 1.4.</w:t>
      </w:r>
    </w:p>
    <w:p>
      <w:pPr>
        <w:spacing w:after="120" w:line="312"/>
        <w:jc w:val="both"/>
      </w:pPr>
      <w:r>
        <w:rPr>
          <w:rFonts w:ascii="Times New Roman" w:eastAsia="SimSun"/>
          <w:color w:val="000000"/>
          <w:sz w:val="24"/>
          <w:szCs w:val="24"/>
        </w:rPr>
        <w:t xml:space="preserve">Une nuance est toutefois consignée : une </w:t>
      </w:r>
      <w:r>
        <w:rPr>
          <w:rFonts w:ascii="Times New Roman" w:eastAsia="SimSun"/>
          <w:b/>
          <w:bCs/>
          <w:color w:val="000000"/>
          <w:sz w:val="24"/>
          <w:szCs w:val="24"/>
        </w:rPr>
        <w:t xml:space="preserve">lecture</w:t>
      </w:r>
      <w:r>
        <w:rPr>
          <w:rFonts w:ascii="Times New Roman" w:eastAsia="SimSun"/>
          <w:color w:val="000000"/>
          <w:sz w:val="24"/>
          <w:szCs w:val="24"/>
        </w:rPr>
        <w:t xml:space="preserve"> du registre Windows à des fins de diagnostic — sans aucun nettoyage — pourrait être réévaluée après le MVP. Cette éventualité fera l'objet d'une décision documentée au titre du registre des décisions d'architecture, avec une analyse des risques propre à ce composant sensible et une garantie de lecture seule opposable dans le code.</w:t>
      </w:r>
    </w:p>
    <w:p>
      <w:pPr>
        <w:pStyle w:val="Heading2"/>
        <w:keepNext/>
        <w:spacing w:after="120" w:before="240" w:line="312"/>
        <w:jc w:val="left"/>
      </w:pPr>
      <w:bookmarkStart w:name="_Toc11" w:id="11"/>
      <w:r>
        <w:rPr>
          <w:rFonts w:ascii="Times New Roman" w:eastAsia="SimHei"/>
          <w:b/>
          <w:bCs/>
          <w:color w:val="16384F"/>
          <w:sz w:val="30"/>
          <w:szCs w:val="30"/>
        </w:rPr>
        <w:t xml:space="preserve">2.3 Mode ligne de commande headless</w:t>
      </w:r>
      <w:bookmarkEnd w:id="11"/>
    </w:p>
    <w:p>
      <w:pPr>
        <w:spacing w:after="120" w:line="312"/>
        <w:jc w:val="both"/>
      </w:pPr>
      <w:r>
        <w:rPr>
          <w:rFonts w:ascii="Times New Roman" w:eastAsia="SimSun"/>
          <w:color w:val="000000"/>
          <w:sz w:val="24"/>
          <w:szCs w:val="24"/>
        </w:rPr>
        <w:t xml:space="preserve">La version 1.1 introduit un mode ligne de commande au sein du MVP. Les commandes nettos scan, nettos clean --dry-run et nettos report --json exposent les mêmes services applicatifs que l'interface graphique, sans logique dupliquée : le mode s'appuie sur l'indépendance déjà exigée du moteur vis-à-vis de l'interface, ce qui rend son coût de développement marginal.</w:t>
      </w:r>
    </w:p>
    <w:p>
      <w:pPr>
        <w:spacing w:after="120" w:line="312"/>
        <w:jc w:val="both"/>
      </w:pPr>
      <w:r>
        <w:rPr>
          <w:rFonts w:ascii="Times New Roman" w:eastAsia="SimSun"/>
          <w:color w:val="000000"/>
          <w:sz w:val="24"/>
          <w:szCs w:val="24"/>
        </w:rPr>
        <w:t xml:space="preserve">Les bénéfices sont triples : les tests d'intégration s'exécutent en continu sans affichage, les utilisateurs avancés disposent d'un canal d'automatisation contrôlé, et les démonstrations deviennent possibles sur des machines sans environnement graphique. Ce mode applique strictement les mêmes règles de sécurité que l'interface : la confirmation explicite exige un drapeau dédié (--confirm), jamais implicite, et aucune cible hors liste d'autorisation ne devient supprimable parce qu'une commande est tapée dans un terminal.</w:t>
      </w:r>
    </w:p>
    <w:p>
      <w:pPr>
        <w:pStyle w:val="Heading1"/>
        <w:keepNext/>
        <w:spacing w:after="160" w:before="360" w:line="312"/>
        <w:jc w:val="center"/>
      </w:pPr>
      <w:bookmarkStart w:name="_Toc12" w:id="12"/>
      <w:r>
        <w:rPr>
          <w:rFonts w:ascii="Times New Roman" w:eastAsia="SimHei"/>
          <w:b/>
          <w:bCs/>
          <w:color w:val="16384F"/>
          <w:sz w:val="32"/>
          <w:szCs w:val="32"/>
        </w:rPr>
        <w:t xml:space="preserve">3. Choix technologiques</w:t>
      </w:r>
      <w:bookmarkEnd w:id="12"/>
    </w:p>
    <w:p>
      <w:pPr>
        <w:pStyle w:val="Heading2"/>
        <w:keepNext/>
        <w:spacing w:after="120" w:before="240" w:line="312"/>
        <w:jc w:val="left"/>
      </w:pPr>
      <w:bookmarkStart w:name="_Toc13" w:id="13"/>
      <w:r>
        <w:rPr>
          <w:rFonts w:ascii="Times New Roman" w:eastAsia="SimHei"/>
          <w:b/>
          <w:bCs/>
          <w:color w:val="16384F"/>
          <w:sz w:val="30"/>
          <w:szCs w:val="30"/>
        </w:rPr>
        <w:t xml:space="preserve">3.1 Pile technique retenue</w:t>
      </w:r>
      <w:bookmarkEnd w:id="13"/>
    </w:p>
    <w:p>
      <w:pPr>
        <w:spacing w:after="120" w:line="312"/>
        <w:jc w:val="both"/>
      </w:pPr>
      <w:r>
        <w:rPr>
          <w:rFonts w:ascii="Times New Roman" w:eastAsia="SimSun"/>
          <w:color w:val="000000"/>
          <w:sz w:val="24"/>
          <w:szCs w:val="24"/>
        </w:rPr>
        <w:t xml:space="preserve">La pile retenue privilégie un compromis entre compétences disponibles, portabilité et capacité à faire grandir le projet sans multiplier les technologies. Chaque composant a un rôle délimité, résumé dans le tableau suivant.</w:t>
      </w:r>
    </w:p>
    <w:p>
      <w:pPr>
        <w:keepNext/>
        <w:spacing w:after="100" w:before="240" w:line="312"/>
        <w:jc w:val="left"/>
      </w:pPr>
      <w:r>
        <w:rPr>
          <w:rFonts w:ascii="Times New Roman" w:eastAsia="SimSun"/>
          <w:b/>
          <w:bCs/>
          <w:color w:val="16384F"/>
          <w:sz w:val="21"/>
          <w:szCs w:val="21"/>
        </w:rPr>
        <w:t xml:space="preserve">Tableau 2 — Pile technique du projet</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582"/>
        <w:gridCol w:w="2373"/>
        <w:gridCol w:w="4833"/>
      </w:tblGrid>
      <w:tr>
        <w:trPr>
          <w:cantSplit/>
          <w:tblHeader/>
        </w:trPr>
        <w:tc>
          <w:tcPr>
            <w:tcW w:type="pct" w:w="9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Composant</w:t>
            </w:r>
          </w:p>
        </w:tc>
        <w:tc>
          <w:tcPr>
            <w:tcW w:type="pct" w:w="13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Choix retenu</w:t>
            </w:r>
          </w:p>
        </w:tc>
        <w:tc>
          <w:tcPr>
            <w:tcW w:type="pct" w:w="27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Rôle dans le projet</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Langage</w:t>
            </w:r>
          </w:p>
        </w:tc>
        <w:tc>
          <w:tcPr>
            <w:tcW w:type="pct" w:w="1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Python 3.12 ou supérieur</w:t>
            </w:r>
          </w:p>
        </w:tc>
        <w:tc>
          <w:tcPr>
            <w:tcW w:type="pct" w:w="2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Moteur de diagnostic, logique métier, règles de nettoyage et tests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w:t>
            </w:r>
          </w:p>
        </w:tc>
        <w:tc>
          <w:tcPr>
            <w:tcW w:type="pct" w:w="1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PySide6 / Qt Widgets</w:t>
            </w:r>
          </w:p>
        </w:tc>
        <w:tc>
          <w:tcPr>
            <w:tcW w:type="pct" w:w="2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 de bureau native : tableaux, filtres, confirmations, navigation classique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Persistance</w:t>
            </w:r>
          </w:p>
        </w:tc>
        <w:tc>
          <w:tcPr>
            <w:tcW w:type="pct" w:w="1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SQLite</w:t>
            </w:r>
          </w:p>
        </w:tc>
        <w:tc>
          <w:tcPr>
            <w:tcW w:type="pct" w:w="2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Historique des analyses, paramètres, résultats agrégés, journal des opérations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Qualité</w:t>
            </w:r>
          </w:p>
        </w:tc>
        <w:tc>
          <w:tcPr>
            <w:tcW w:type="pct" w:w="1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pytest, Ruff, mypy</w:t>
            </w:r>
          </w:p>
        </w:tc>
        <w:tc>
          <w:tcPr>
            <w:tcW w:type="pct" w:w="2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Tests automatisés, contrôle de style, vérification statique progressive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Intégration continue</w:t>
            </w:r>
          </w:p>
        </w:tc>
        <w:tc>
          <w:tcPr>
            <w:tcW w:type="pct" w:w="1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GitHub Actions</w:t>
            </w:r>
          </w:p>
        </w:tc>
        <w:tc>
          <w:tcPr>
            <w:tcW w:type="pct" w:w="2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Tests sur Linux et Windows, contrôle des régressions, préparation des versions</w:t>
            </w:r>
          </w:p>
        </w:tc>
      </w:tr>
    </w:tbl>
    <w:p>
      <w:pPr>
        <w:pStyle w:val="Heading2"/>
        <w:keepNext/>
        <w:spacing w:after="120" w:before="240" w:line="312"/>
        <w:jc w:val="left"/>
      </w:pPr>
      <w:bookmarkStart w:name="_Toc14" w:id="14"/>
      <w:r>
        <w:rPr>
          <w:rFonts w:ascii="Times New Roman" w:eastAsia="SimHei"/>
          <w:b/>
          <w:bCs/>
          <w:color w:val="16384F"/>
          <w:sz w:val="30"/>
          <w:szCs w:val="30"/>
        </w:rPr>
        <w:t xml:space="preserve">3.2 Justification et alternatives écartées</w:t>
      </w:r>
      <w:bookmarkEnd w:id="14"/>
    </w:p>
    <w:p>
      <w:pPr>
        <w:spacing w:after="120" w:line="312"/>
        <w:jc w:val="both"/>
      </w:pPr>
      <w:r>
        <w:rPr>
          <w:rFonts w:ascii="Times New Roman" w:eastAsia="SimSun"/>
          <w:color w:val="000000"/>
          <w:sz w:val="24"/>
          <w:szCs w:val="24"/>
        </w:rPr>
        <w:t xml:space="preserve">Une application web ou une interface Electron ont été écartées pour une raison structurelle : NettOS doit analyser le système local, ce qu'une page web ne peut pas faire directement pour des raisons de permissions, et ce qu'Electron ne justifie pas puisqu'une interface Qt native suffit tout en restant plus légère. Python est retenu parce qu'il correspond aux compétences actuelles du projet, offre une portabilité immédiate vers les deux systèmes cibles et dispose d'un écosystème de tests mature.</w:t>
      </w:r>
    </w:p>
    <w:p>
      <w:pPr>
        <w:spacing w:after="120" w:line="312"/>
        <w:jc w:val="both"/>
      </w:pPr>
      <w:r>
        <w:rPr>
          <w:rFonts w:ascii="Times New Roman" w:eastAsia="SimSun"/>
          <w:color w:val="000000"/>
          <w:sz w:val="24"/>
          <w:szCs w:val="24"/>
        </w:rPr>
        <w:t xml:space="preserve">La taille réelle de distribution de PySide6 n'est pas garantie comme étant la plus légère ; elle sera mesurée pendant les prototypes et comparée au budget fixé en section 8.1. Les alternatives examinées le sont en connaissance de cause : Tkinter, écarté pour son insuffisance sur les tableaux filtrables et les fenêtres de confirmation avancées ; un développement en Rust ou Go, plus performant mais incompatible avec le délai et la courbe d'apprentissage du projet ; une architecture client-serveur, inutilement complexe pour un outil strictement local.</w:t>
      </w:r>
    </w:p>
    <w:p>
      <w:pPr>
        <w:pStyle w:val="Heading2"/>
        <w:keepNext/>
        <w:spacing w:after="120" w:before="240" w:line="312"/>
        <w:jc w:val="left"/>
      </w:pPr>
      <w:bookmarkStart w:name="_Toc15" w:id="15"/>
      <w:r>
        <w:rPr>
          <w:rFonts w:ascii="Times New Roman" w:eastAsia="SimHei"/>
          <w:b/>
          <w:bCs/>
          <w:color w:val="16384F"/>
          <w:sz w:val="30"/>
          <w:szCs w:val="30"/>
        </w:rPr>
        <w:t xml:space="preserve">3.3 Compatibilité visée, distribution et contraintes Windows</w:t>
      </w:r>
      <w:bookmarkEnd w:id="15"/>
    </w:p>
    <w:p>
      <w:pPr>
        <w:spacing w:after="120" w:line="312"/>
        <w:jc w:val="both"/>
      </w:pPr>
      <w:r>
        <w:rPr>
          <w:rFonts w:ascii="Times New Roman" w:eastAsia="SimSun"/>
          <w:color w:val="000000"/>
          <w:sz w:val="24"/>
          <w:szCs w:val="24"/>
        </w:rPr>
        <w:t xml:space="preserve">Côté Linux, Ubuntu est prioritaire, suivi des autres distributions compatibles avec les dépendances retenues ; la distribution prendra la forme d'une AppImage ou d'un paquet adapté, l'option Flatpak étant à étudier pour ses mécanismes de permissions. Côté Windows, les versions 10 et 11 sont visées, avec vérification à chaque publication sur les versions encore prises en charge. Le code métier est partagé et les différences de chemins, permissions, volumes et journaux sont isolées dans des adaptateurs dédiés.</w:t>
      </w:r>
    </w:p>
    <w:p>
      <w:pPr>
        <w:spacing w:after="120" w:line="312"/>
        <w:jc w:val="both"/>
      </w:pPr>
      <w:r>
        <w:rPr>
          <w:rFonts w:ascii="Times New Roman" w:eastAsia="SimSun"/>
          <w:color w:val="000000"/>
          <w:sz w:val="24"/>
          <w:szCs w:val="24"/>
        </w:rPr>
        <w:t xml:space="preserve">La version 1.1 rend explicites des contraintes Windows qui doivent être traitées dès la conception : les chemins dépassant la limite classique de longueur (préfixe « \\?\ » et manifeste longPathAware), les junction points et liens symboliques NTFS, les flux de données alternatifs (ADS) et l'usage de la corbeille via les API du shell. Ces particularités influencent directement le scanner, le moteur de nettoyage, la gestion des chemins et les tests de sécurité.</w:t>
      </w:r>
    </w:p>
    <w:p>
      <w:pPr>
        <w:spacing w:after="120" w:line="312"/>
        <w:jc w:val="both"/>
      </w:pPr>
      <w:r>
        <w:rPr>
          <w:rFonts w:ascii="Times New Roman" w:eastAsia="SimSun"/>
          <w:color w:val="000000"/>
          <w:sz w:val="24"/>
          <w:szCs w:val="24"/>
        </w:rPr>
        <w:t xml:space="preserve">Enfin, un binaire non signé qui supprime des fichiers attirera l'attention des antivirus et déclenchera des avertissements SmartScreen. Deux voies existent : l'acquisition d'un certificat de signature de code, dont le coût annuel doit être budgété, ou une publication accompagnée sur GitHub Releases avec sommes de vérification publiées et documentation de vérification à destination des utilisateurs. Cette décision, avec son budget, est à trancher tôt (section 12).</w:t>
      </w:r>
    </w:p>
    <w:p>
      <w:pPr>
        <w:pStyle w:val="Heading1"/>
        <w:keepNext/>
        <w:spacing w:after="160" w:before="360" w:line="312"/>
        <w:jc w:val="center"/>
      </w:pPr>
      <w:bookmarkStart w:name="_Toc16" w:id="16"/>
      <w:r>
        <w:rPr>
          <w:rFonts w:ascii="Times New Roman" w:eastAsia="SimHei"/>
          <w:b/>
          <w:bCs/>
          <w:color w:val="16384F"/>
          <w:sz w:val="32"/>
          <w:szCs w:val="32"/>
        </w:rPr>
        <w:t xml:space="preserve">4. Architecture logicielle</w:t>
      </w:r>
      <w:bookmarkEnd w:id="16"/>
    </w:p>
    <w:p>
      <w:pPr>
        <w:pStyle w:val="Heading2"/>
        <w:keepNext/>
        <w:spacing w:after="120" w:before="240" w:line="312"/>
        <w:jc w:val="left"/>
      </w:pPr>
      <w:bookmarkStart w:name="_Toc17" w:id="17"/>
      <w:r>
        <w:rPr>
          <w:rFonts w:ascii="Times New Roman" w:eastAsia="SimHei"/>
          <w:b/>
          <w:bCs/>
          <w:color w:val="16384F"/>
          <w:sz w:val="30"/>
          <w:szCs w:val="30"/>
        </w:rPr>
        <w:t xml:space="preserve">4.1 Vue d'ensemble en couches</w:t>
      </w:r>
      <w:bookmarkEnd w:id="17"/>
    </w:p>
    <w:p>
      <w:pPr>
        <w:spacing w:after="120" w:line="312"/>
        <w:jc w:val="both"/>
      </w:pPr>
      <w:r>
        <w:rPr>
          <w:rFonts w:ascii="Times New Roman" w:eastAsia="SimSun"/>
          <w:color w:val="000000"/>
          <w:sz w:val="24"/>
          <w:szCs w:val="24"/>
        </w:rPr>
        <w:t xml:space="preserve">NettOS est construit autour de modules indépendants plutôt que d'un fichier monolithique mêlant interface, commandes système et suppressions. Les couches, de haut en bas, sont : l'interface Qt (tableau de bord, analyse, résultats, nettoyage, historique) ; les services applicatifs (lancer une analyse, préparer un nettoyage, confirmer une opération, produire un rapport) ; les moteurs de diagnostic et de nettoyage ; le registre de plugins ; la persistance ; et la couche système avec ses adaptateurs Linux et Windows et l'accès au système de fichiers, aux volumes et aux journaux.</w:t>
      </w:r>
    </w:p>
    <w:p>
      <w:pPr>
        <w:keepNext/>
        <w:spacing w:after="100" w:before="240" w:line="312"/>
        <w:jc w:val="left"/>
      </w:pPr>
      <w:r>
        <w:rPr>
          <w:rFonts w:ascii="Times New Roman" w:eastAsia="SimSun"/>
          <w:b/>
          <w:bCs/>
          <w:color w:val="16384F"/>
          <w:sz w:val="21"/>
          <w:szCs w:val="21"/>
        </w:rPr>
        <w:t xml:space="preserve">Tableau 3 — Responsabilités et interdits par couche</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670"/>
        <w:gridCol w:w="3955"/>
        <w:gridCol w:w="3164"/>
      </w:tblGrid>
      <w:tr>
        <w:trPr>
          <w:cantSplit/>
          <w:tblHeader/>
        </w:trPr>
        <w:tc>
          <w:tcPr>
            <w:tcW w:type="pct" w:w="9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Couche</w:t>
            </w:r>
          </w:p>
        </w:tc>
        <w:tc>
          <w:tcPr>
            <w:tcW w:type="pct" w:w="22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Responsabilité</w:t>
            </w:r>
          </w:p>
        </w:tc>
        <w:tc>
          <w:tcPr>
            <w:tcW w:type="pct" w:w="18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Interdit</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 Qt</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Présenter les résultats, recueillir les décisions de l'utilisateur, afficher la progression</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Supprimer directement un fichier ; accéder au système de fichiers hors services</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Services applicatifs</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Orchestrer analyses, nettoyages et rapports ; appliquer le pipeline complet</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Contourner la simulation ou la confirmation</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Moteur de diagnostic</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Scanner, classifier, mesurer</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Toute écriture sur le disque</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Moteur de nettoyage</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Simuler, autoriser, exécuter</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Toute cible hors liste d'autorisation</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Registre de plugins</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Recenser les règles autorisées et leurs versions</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Chargement automatique de code trouvé sur le disque</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Persistance</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Historique, paramètres, journal d'audit</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Stocker le contenu des fichiers</w:t>
            </w:r>
          </w:p>
        </w:tc>
      </w:tr>
      <w:tr>
        <w:trPr>
          <w:cantSplit/>
        </w:trPr>
        <w:tc>
          <w:tcPr>
            <w:tcW w:type="pct" w:w="9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Couche système</w:t>
            </w:r>
          </w:p>
        </w:tc>
        <w:tc>
          <w:tcPr>
            <w:tcW w:type="pct" w:w="22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Isoler les différences Linux/Windows derrière des adaptateurs</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Laisser fuir des appels spécifiques à un OS dans le cœur</w:t>
            </w:r>
          </w:p>
        </w:tc>
      </w:tr>
    </w:tbl>
    <w:p>
      <w:pPr>
        <w:spacing w:after="120" w:line="312"/>
        <w:jc w:val="both"/>
      </w:pPr>
      <w:r>
        <w:rPr>
          <w:rFonts w:ascii="Times New Roman" w:eastAsia="SimSun"/>
          <w:color w:val="000000"/>
          <w:sz w:val="24"/>
          <w:szCs w:val="24"/>
        </w:rPr>
        <w:t xml:space="preserve">Cette séparation a un objectif vérifiable : le moteur doit fonctionner et être testé sans lancer l'interface graphique. Les tests de sécurité, en particulier, s'exécutent directement contre les services applicatifs et les moteurs, ce qui permet de les automatiser en intégration continue sans dépendre d'un affichage.</w:t>
      </w:r>
    </w:p>
    <w:p>
      <w:pPr>
        <w:pStyle w:val="Heading2"/>
        <w:keepNext/>
        <w:spacing w:after="120" w:before="240" w:line="312"/>
        <w:jc w:val="left"/>
      </w:pPr>
      <w:bookmarkStart w:name="_Toc18" w:id="18"/>
      <w:r>
        <w:rPr>
          <w:rFonts w:ascii="Times New Roman" w:eastAsia="SimHei"/>
          <w:b/>
          <w:bCs/>
          <w:color w:val="16384F"/>
          <w:sz w:val="30"/>
          <w:szCs w:val="30"/>
        </w:rPr>
        <w:t xml:space="preserve">4.2 Règles d'architecture</w:t>
      </w:r>
      <w:bookmarkEnd w:id="18"/>
    </w:p>
    <w:p>
      <w:pPr>
        <w:spacing w:after="120" w:line="312"/>
        <w:jc w:val="both"/>
      </w:pPr>
      <w:r>
        <w:rPr>
          <w:rFonts w:ascii="Times New Roman" w:eastAsia="SimSun"/>
          <w:color w:val="000000"/>
          <w:sz w:val="24"/>
          <w:szCs w:val="24"/>
        </w:rPr>
        <w:t xml:space="preserve">Sept règles non négociables découlent de cette vue en couches :</w:t>
      </w:r>
    </w:p>
    <w:p>
      <w:pPr>
        <w:pStyle w:val="ListParagraph"/>
        <w:numPr>
          <w:ilvl w:val="0"/>
          <w:numId w:val="2"/>
        </w:numPr>
        <w:spacing w:after="80" w:line="312"/>
        <w:jc w:val="left"/>
      </w:pPr>
      <w:r>
        <w:rPr>
          <w:rFonts w:ascii="Times New Roman" w:eastAsia="SimSun"/>
          <w:color w:val="000000"/>
          <w:sz w:val="24"/>
          <w:szCs w:val="24"/>
        </w:rPr>
        <w:t xml:space="preserve">L'interface ne supprime jamais directement un fichier.</w:t>
      </w:r>
    </w:p>
    <w:p>
      <w:pPr>
        <w:pStyle w:val="ListParagraph"/>
        <w:numPr>
          <w:ilvl w:val="0"/>
          <w:numId w:val="2"/>
        </w:numPr>
        <w:spacing w:after="80" w:line="312"/>
        <w:jc w:val="left"/>
      </w:pPr>
      <w:r>
        <w:rPr>
          <w:rFonts w:ascii="Times New Roman" w:eastAsia="SimSun"/>
          <w:color w:val="000000"/>
          <w:sz w:val="24"/>
          <w:szCs w:val="24"/>
        </w:rPr>
        <w:t xml:space="preserve">Le moteur de diagnostic n'a pas besoin de privilèges administrateur pour les analyses ordinaires.</w:t>
      </w:r>
    </w:p>
    <w:p>
      <w:pPr>
        <w:pStyle w:val="ListParagraph"/>
        <w:numPr>
          <w:ilvl w:val="0"/>
          <w:numId w:val="2"/>
        </w:numPr>
        <w:spacing w:after="80" w:line="312"/>
        <w:jc w:val="left"/>
      </w:pPr>
      <w:r>
        <w:rPr>
          <w:rFonts w:ascii="Times New Roman" w:eastAsia="SimSun"/>
          <w:color w:val="000000"/>
          <w:sz w:val="24"/>
          <w:szCs w:val="24"/>
        </w:rPr>
        <w:t xml:space="preserve">Les règles de nettoyage décrivent leurs cibles, leurs risques et leurs conditions ; elles ne contiennent pas de commandes arbitraires.</w:t>
      </w:r>
    </w:p>
    <w:p>
      <w:pPr>
        <w:pStyle w:val="ListParagraph"/>
        <w:numPr>
          <w:ilvl w:val="0"/>
          <w:numId w:val="2"/>
        </w:numPr>
        <w:spacing w:after="80" w:line="312"/>
        <w:jc w:val="left"/>
      </w:pPr>
      <w:r>
        <w:rPr>
          <w:rFonts w:ascii="Times New Roman" w:eastAsia="SimSun"/>
          <w:color w:val="000000"/>
          <w:sz w:val="24"/>
          <w:szCs w:val="24"/>
        </w:rPr>
        <w:t xml:space="preserve">Les différences entre Linux et Windows sont isolées dans des adaptateurs.</w:t>
      </w:r>
    </w:p>
    <w:p>
      <w:pPr>
        <w:pStyle w:val="ListParagraph"/>
        <w:numPr>
          <w:ilvl w:val="0"/>
          <w:numId w:val="2"/>
        </w:numPr>
        <w:spacing w:after="80" w:line="312"/>
        <w:jc w:val="left"/>
      </w:pPr>
      <w:r>
        <w:rPr>
          <w:rFonts w:ascii="Times New Roman" w:eastAsia="SimSun"/>
          <w:color w:val="000000"/>
          <w:sz w:val="24"/>
          <w:szCs w:val="24"/>
        </w:rPr>
        <w:t xml:space="preserve">Les opérations longues s'exécutent hors du thread graphique, avec progression et possibilité d'annulation des analyses.</w:t>
      </w:r>
    </w:p>
    <w:p>
      <w:pPr>
        <w:pStyle w:val="ListParagraph"/>
        <w:numPr>
          <w:ilvl w:val="0"/>
          <w:numId w:val="2"/>
        </w:numPr>
        <w:spacing w:after="80" w:line="312"/>
        <w:jc w:val="left"/>
      </w:pPr>
      <w:r>
        <w:rPr>
          <w:rFonts w:ascii="Times New Roman" w:eastAsia="SimSun"/>
          <w:color w:val="000000"/>
          <w:sz w:val="24"/>
          <w:szCs w:val="24"/>
        </w:rPr>
        <w:t xml:space="preserve">Le registre de plugins utilise une liste explicite de modules autorisés, jamais un chargement automatique de code trouvé dans un répertoire utilisateur.</w:t>
      </w:r>
    </w:p>
    <w:p>
      <w:pPr>
        <w:pStyle w:val="ListParagraph"/>
        <w:numPr>
          <w:ilvl w:val="0"/>
          <w:numId w:val="2"/>
        </w:numPr>
        <w:spacing w:after="80" w:line="312"/>
        <w:jc w:val="left"/>
      </w:pPr>
      <w:r>
        <w:rPr>
          <w:rFonts w:ascii="Times New Roman" w:eastAsia="SimSun"/>
          <w:color w:val="000000"/>
          <w:sz w:val="24"/>
          <w:szCs w:val="24"/>
        </w:rPr>
        <w:t xml:space="preserve">Le moteur fonctionne et se teste sans interface graphique.</w:t>
      </w:r>
    </w:p>
    <w:p>
      <w:pPr>
        <w:spacing w:after="120" w:line="312"/>
        <w:jc w:val="both"/>
      </w:pPr>
      <w:r>
        <w:rPr>
          <w:rFonts w:ascii="Times New Roman" w:eastAsia="SimSun"/>
          <w:color w:val="000000"/>
          <w:sz w:val="24"/>
          <w:szCs w:val="24"/>
        </w:rPr>
        <w:t xml:space="preserve">Chacune de ces règles est vérifiable par inspection ou par test : c'est la condition pour qu'une règle d'architecture reste vivante plutôt que décorative. Les revues de code et les tests d'intégration porteront notamment sur la règle 1, la plus critique pour la sécurité, et sur la règle 6 qui protège contre l'exécution de code non revu.</w:t>
      </w:r>
    </w:p>
    <w:p>
      <w:pPr>
        <w:pStyle w:val="Heading2"/>
        <w:keepNext/>
        <w:spacing w:after="120" w:before="240" w:line="312"/>
        <w:jc w:val="left"/>
      </w:pPr>
      <w:bookmarkStart w:name="_Toc19" w:id="19"/>
      <w:r>
        <w:rPr>
          <w:rFonts w:ascii="Times New Roman" w:eastAsia="SimHei"/>
          <w:b/>
          <w:bCs/>
          <w:color w:val="16384F"/>
          <w:sz w:val="30"/>
          <w:szCs w:val="30"/>
        </w:rPr>
        <w:t xml:space="preserve">4.3 Organisation du dépôt</w:t>
      </w:r>
      <w:bookmarkEnd w:id="19"/>
    </w:p>
    <w:p>
      <w:pPr>
        <w:spacing w:after="120" w:line="312"/>
        <w:jc w:val="both"/>
      </w:pPr>
      <w:r>
        <w:rPr>
          <w:rFonts w:ascii="Times New Roman" w:eastAsia="SimSun"/>
          <w:color w:val="000000"/>
          <w:sz w:val="24"/>
          <w:szCs w:val="24"/>
        </w:rPr>
        <w:t xml:space="preserve">Le dépôt suit une organisation par domaine : src/nettos regroupe le cœur (modèles, résultats, erreurs), les services applicatifs (scan, nettoyage, rapports), les diagnostics (système de fichiers, stockage, règles), les nettoyeurs (contrat de base, registre, règles concrètes), les adaptateurs de plateforme, la sécurité (protection des chemins, politique d'opérations), la persistance et l'interface. Les tests sont séparés en unitaires, intégration et sécurité, avec des fixtures dédiées ; la documentation couvre l'architecture, la sécurité et le développement.</w:t>
      </w:r>
    </w:p>
    <w:p>
      <w:pPr>
        <w:spacing w:after="120" w:line="312"/>
        <w:jc w:val="both"/>
      </w:pPr>
      <w:r>
        <w:rPr>
          <w:rFonts w:ascii="Times New Roman" w:eastAsia="SimSun"/>
          <w:color w:val="000000"/>
          <w:sz w:val="24"/>
          <w:szCs w:val="24"/>
        </w:rPr>
        <w:t xml:space="preserve">Ce découpage est une proposition de départ et non une obligation de créer immédiatement tous ces fichiers : on ne crée un module que lorsqu'une fonctionnalité réelle le justifie. Cette discipline évite le squelette mort-né, dont les fichiers vides donnent l'illusion de l'architecture sans en fournir la substance.</w:t>
      </w:r>
    </w:p>
    <w:p>
      <w:pPr>
        <w:pStyle w:val="Heading2"/>
        <w:keepNext/>
        <w:spacing w:after="120" w:before="240" w:line="312"/>
        <w:jc w:val="left"/>
      </w:pPr>
      <w:bookmarkStart w:name="_Toc20" w:id="20"/>
      <w:r>
        <w:rPr>
          <w:rFonts w:ascii="Times New Roman" w:eastAsia="SimHei"/>
          <w:b/>
          <w:bCs/>
          <w:color w:val="16384F"/>
          <w:sz w:val="30"/>
          <w:szCs w:val="30"/>
        </w:rPr>
        <w:t xml:space="preserve">4.4 Registre des décisions d'architecture</w:t>
      </w:r>
      <w:bookmarkEnd w:id="20"/>
    </w:p>
    <w:p>
      <w:pPr>
        <w:spacing w:after="120" w:line="312"/>
        <w:jc w:val="both"/>
      </w:pPr>
      <w:r>
        <w:rPr>
          <w:rFonts w:ascii="Times New Roman" w:eastAsia="SimSun"/>
          <w:color w:val="000000"/>
          <w:sz w:val="24"/>
          <w:szCs w:val="24"/>
        </w:rPr>
        <w:t xml:space="preserve">Chaque décision structurante — choix de la pile, stratégie de quarantaine, politique de journalisation, format des règles, approche de signature des paquets — est consignée dans un enregistrement de type ADR (Architecture Decision Record) sous docs/adr/. Chaque enregistrement documente le contexte, les options envisagées, la décision prise et ses conséquences, sur une page au plus.</w:t>
      </w:r>
    </w:p>
    <w:p>
      <w:pPr>
        <w:spacing w:after="120" w:line="312"/>
        <w:jc w:val="both"/>
      </w:pPr>
      <w:r>
        <w:rPr>
          <w:rFonts w:ascii="Times New Roman" w:eastAsia="SimSun"/>
          <w:color w:val="000000"/>
          <w:sz w:val="24"/>
          <w:szCs w:val="24"/>
        </w:rPr>
        <w:t xml:space="preserve">Cette pratique, peu coûteuse pour un développeur seul, répond directement à l'objectif d'« évoluer sans réécriture » : elle rend visible la raison d'être de chaque choix, permet de le réviser en connaissance de cause et accueille les contributeurs futurs sans transmission orale. Les enregistrements sont immuables : une décision révisée produit un nouvel enregistrement qui annule explicitement le précédent.</w:t>
      </w:r>
    </w:p>
    <w:p>
      <w:pPr>
        <w:pStyle w:val="Heading1"/>
        <w:keepNext/>
        <w:spacing w:after="160" w:before="360" w:line="312"/>
        <w:jc w:val="center"/>
      </w:pPr>
      <w:bookmarkStart w:name="_Toc21" w:id="21"/>
      <w:r>
        <w:rPr>
          <w:rFonts w:ascii="Times New Roman" w:eastAsia="SimHei"/>
          <w:b/>
          <w:bCs/>
          <w:color w:val="16384F"/>
          <w:sz w:val="32"/>
          <w:szCs w:val="32"/>
        </w:rPr>
        <w:t xml:space="preserve">5. Exigences de sécurité</w:t>
      </w:r>
      <w:bookmarkEnd w:id="21"/>
    </w:p>
    <w:p>
      <w:pPr>
        <w:spacing w:after="120" w:line="312"/>
        <w:jc w:val="both"/>
      </w:pPr>
      <w:r>
        <w:rPr>
          <w:rFonts w:ascii="Times New Roman" w:eastAsia="SimSun"/>
          <w:color w:val="000000"/>
          <w:sz w:val="24"/>
          <w:szCs w:val="24"/>
        </w:rPr>
        <w:t xml:space="preserve">La sécurité est le cœur du projet : un nettoyeur qui libère beaucoup d'espace mais peut supprimer les documents d'un utilisateur est un mauvais nettoyeur. Les exigences qui suivent priment sur toute considération de fonctionnalité ou de délai, y compris pendant les phases de calendrier serré ; elles constituent le critère de qualité premier du produit.</w:t>
      </w:r>
    </w:p>
    <w:p>
      <w:pPr>
        <w:pStyle w:val="Heading2"/>
        <w:keepNext/>
        <w:spacing w:after="120" w:before="240" w:line="312"/>
        <w:jc w:val="left"/>
      </w:pPr>
      <w:bookmarkStart w:name="_Toc22" w:id="22"/>
      <w:r>
        <w:rPr>
          <w:rFonts w:ascii="Times New Roman" w:eastAsia="SimHei"/>
          <w:b/>
          <w:bCs/>
          <w:color w:val="16384F"/>
          <w:sz w:val="30"/>
          <w:szCs w:val="30"/>
        </w:rPr>
        <w:t xml:space="preserve">5.1 Règles non négociables</w:t>
      </w:r>
      <w:bookmarkEnd w:id="22"/>
    </w:p>
    <w:p>
      <w:pPr>
        <w:pStyle w:val="ListParagraph"/>
        <w:numPr>
          <w:ilvl w:val="0"/>
          <w:numId w:val="3"/>
        </w:numPr>
        <w:spacing w:after="80" w:line="312"/>
        <w:jc w:val="left"/>
      </w:pPr>
      <w:r>
        <w:rPr>
          <w:rFonts w:ascii="Times New Roman" w:eastAsia="SimSun"/>
          <w:b/>
          <w:bCs/>
          <w:color w:val="000000"/>
          <w:sz w:val="24"/>
          <w:szCs w:val="24"/>
        </w:rPr>
        <w:t xml:space="preserve">Lecture seule par défaut.</w:t>
      </w:r>
      <w:r>
        <w:rPr>
          <w:rFonts w:ascii="Times New Roman" w:eastAsia="SimSun"/>
          <w:color w:val="000000"/>
          <w:sz w:val="24"/>
          <w:szCs w:val="24"/>
        </w:rPr>
        <w:t xml:space="preserve"> Toute nouvelle fonction commence par détecter et expliquer. La suppression n'est disponible que pour des cibles explicitement autorisées.</w:t>
      </w:r>
    </w:p>
    <w:p>
      <w:pPr>
        <w:pStyle w:val="ListParagraph"/>
        <w:numPr>
          <w:ilvl w:val="0"/>
          <w:numId w:val="3"/>
        </w:numPr>
        <w:spacing w:after="80" w:line="312"/>
        <w:jc w:val="left"/>
      </w:pPr>
      <w:r>
        <w:rPr>
          <w:rFonts w:ascii="Times New Roman" w:eastAsia="SimSun"/>
          <w:b/>
          <w:bCs/>
          <w:color w:val="000000"/>
          <w:sz w:val="24"/>
          <w:szCs w:val="24"/>
        </w:rPr>
        <w:t xml:space="preserve">Simulation obligatoire.</w:t>
      </w:r>
      <w:r>
        <w:rPr>
          <w:rFonts w:ascii="Times New Roman" w:eastAsia="SimSun"/>
          <w:color w:val="000000"/>
          <w:sz w:val="24"/>
          <w:szCs w:val="24"/>
        </w:rPr>
        <w:t xml:space="preserve"> Avant tout nettoyage, présenter les éléments ciblés, le nombre de fichiers, la taille estimée, la catégorie, les risques et la raison de chaque sélection.</w:t>
      </w:r>
    </w:p>
    <w:p>
      <w:pPr>
        <w:pStyle w:val="ListParagraph"/>
        <w:numPr>
          <w:ilvl w:val="0"/>
          <w:numId w:val="3"/>
        </w:numPr>
        <w:spacing w:after="80" w:line="312"/>
        <w:jc w:val="left"/>
      </w:pPr>
      <w:r>
        <w:rPr>
          <w:rFonts w:ascii="Times New Roman" w:eastAsia="SimSun"/>
          <w:b/>
          <w:bCs/>
          <w:color w:val="000000"/>
          <w:sz w:val="24"/>
          <w:szCs w:val="24"/>
        </w:rPr>
        <w:t xml:space="preserve">Liste d'autorisation.</w:t>
      </w:r>
      <w:r>
        <w:rPr>
          <w:rFonts w:ascii="Times New Roman" w:eastAsia="SimSun"/>
          <w:color w:val="000000"/>
          <w:sz w:val="24"/>
          <w:szCs w:val="24"/>
        </w:rPr>
        <w:t xml:space="preserve"> Chaque nettoyeur possède des cibles précises et des exclusions ; il est impossible de lancer une suppression générale sur un chemin fourni librement par l'interface.</w:t>
      </w:r>
    </w:p>
    <w:p>
      <w:pPr>
        <w:pStyle w:val="ListParagraph"/>
        <w:numPr>
          <w:ilvl w:val="0"/>
          <w:numId w:val="3"/>
        </w:numPr>
        <w:spacing w:after="80" w:line="312"/>
        <w:jc w:val="left"/>
      </w:pPr>
      <w:r>
        <w:rPr>
          <w:rFonts w:ascii="Times New Roman" w:eastAsia="SimSun"/>
          <w:b/>
          <w:bCs/>
          <w:color w:val="000000"/>
          <w:sz w:val="24"/>
          <w:szCs w:val="24"/>
        </w:rPr>
        <w:t xml:space="preserve">Privilèges minimaux.</w:t>
      </w:r>
      <w:r>
        <w:rPr>
          <w:rFonts w:ascii="Times New Roman" w:eastAsia="SimSun"/>
          <w:color w:val="000000"/>
          <w:sz w:val="24"/>
          <w:szCs w:val="24"/>
        </w:rPr>
        <w:t xml:space="preserve"> NettOS s'exécute avec les permissions de l'utilisateur ; une opération nécessitant des privilèges supplémentaires passe par une autorisation dédiée, limitée et ponctuelle.</w:t>
      </w:r>
    </w:p>
    <w:p>
      <w:pPr>
        <w:pStyle w:val="ListParagraph"/>
        <w:numPr>
          <w:ilvl w:val="0"/>
          <w:numId w:val="3"/>
        </w:numPr>
        <w:spacing w:after="80" w:line="312"/>
        <w:jc w:val="left"/>
      </w:pPr>
      <w:r>
        <w:rPr>
          <w:rFonts w:ascii="Times New Roman" w:eastAsia="SimSun"/>
          <w:b/>
          <w:bCs/>
          <w:color w:val="000000"/>
          <w:sz w:val="24"/>
          <w:szCs w:val="24"/>
        </w:rPr>
        <w:t xml:space="preserve">Traçabilité.</w:t>
      </w:r>
      <w:r>
        <w:rPr>
          <w:rFonts w:ascii="Times New Roman" w:eastAsia="SimSun"/>
          <w:color w:val="000000"/>
          <w:sz w:val="24"/>
          <w:szCs w:val="24"/>
        </w:rPr>
        <w:t xml:space="preserve"> Enregistrer l'opération demandée, les règles utilisées, le résultat et les erreurs, sans enregistrer le contenu privé des fichiers ni des chemins personnels inutilement.</w:t>
      </w:r>
    </w:p>
    <w:p>
      <w:pPr>
        <w:pStyle w:val="ListParagraph"/>
        <w:numPr>
          <w:ilvl w:val="0"/>
          <w:numId w:val="3"/>
        </w:numPr>
        <w:spacing w:after="80" w:line="312"/>
        <w:jc w:val="left"/>
      </w:pPr>
      <w:r>
        <w:rPr>
          <w:rFonts w:ascii="Times New Roman" w:eastAsia="SimSun"/>
          <w:b/>
          <w:bCs/>
          <w:color w:val="000000"/>
          <w:sz w:val="24"/>
          <w:szCs w:val="24"/>
        </w:rPr>
        <w:t xml:space="preserve">Tests de sécurité.</w:t>
      </w:r>
      <w:r>
        <w:rPr>
          <w:rFonts w:ascii="Times New Roman" w:eastAsia="SimSun"/>
          <w:color w:val="000000"/>
          <w:sz w:val="24"/>
          <w:szCs w:val="24"/>
        </w:rPr>
        <w:t xml:space="preserve"> Vérifier les liens symboliques, les chemins contenant des espaces ou des caractères particuliers, les fichiers modifiés pendant l'analyse, les permissions refusées et les tentatives de sortie des répertoires autorisés.</w:t>
      </w:r>
    </w:p>
    <w:p>
      <w:pPr>
        <w:pStyle w:val="Heading2"/>
        <w:keepNext/>
        <w:spacing w:after="120" w:before="240" w:line="312"/>
        <w:jc w:val="left"/>
      </w:pPr>
      <w:bookmarkStart w:name="_Toc23" w:id="23"/>
      <w:r>
        <w:rPr>
          <w:rFonts w:ascii="Times New Roman" w:eastAsia="SimHei"/>
          <w:b/>
          <w:bCs/>
          <w:color w:val="16384F"/>
          <w:sz w:val="30"/>
          <w:szCs w:val="30"/>
        </w:rPr>
        <w:t xml:space="preserve">5.2 Arbitrage entre traçabilité et vie privée</w:t>
      </w:r>
      <w:bookmarkEnd w:id="23"/>
    </w:p>
    <w:p>
      <w:pPr>
        <w:spacing w:after="120" w:line="312"/>
        <w:jc w:val="both"/>
      </w:pPr>
      <w:r>
        <w:rPr>
          <w:rFonts w:ascii="Times New Roman" w:eastAsia="SimSun"/>
          <w:color w:val="000000"/>
          <w:sz w:val="24"/>
          <w:szCs w:val="24"/>
        </w:rPr>
        <w:t xml:space="preserve">La règle 5 formait dans la version 1.0 une tension non arbitrée : un journal d'audit utile doit mentionner des chemins, mais la règle interdit d'enregistrer des chemins personnels « inutilement ». La version 1.1 fixe la politique suivante : les chemins concernés par une opération de nettoyage — demandée, simulée, exécutée, ignorée ou en échec — sont enregistrés parce que la traçabilité en est l'usage utile ; les chemins simplement parcourus lors d'une analyse ne le sont pas, seuls des agrégats (volumes, totaux par catégorie) sont conservés ; le contenu des fichiers n'est jamais enregistré.</w:t>
      </w:r>
    </w:p>
    <w:p>
      <w:pPr>
        <w:spacing w:after="120" w:line="312"/>
        <w:jc w:val="both"/>
      </w:pPr>
      <w:r>
        <w:rPr>
          <w:rFonts w:ascii="Times New Roman" w:eastAsia="SimSun"/>
          <w:color w:val="000000"/>
          <w:sz w:val="24"/>
          <w:szCs w:val="24"/>
        </w:rPr>
        <w:t xml:space="preserve">Cette politique s'accompagne de garanties opérationnelles : le journal réside dans la base locale, aucun export n'a lieu sans action explicite de l'utilisateur, la durée de rétention est paramétrable avec purge automatique au terme fixé et purge manuelle toujours disponible. Le logiciel documente cette politique dans sa déclaration de confidentialité (section 8.2) et dans sa documentation de sécurité.</w:t>
      </w:r>
    </w:p>
    <w:p>
      <w:pPr>
        <w:pStyle w:val="Heading2"/>
        <w:keepNext/>
        <w:spacing w:after="120" w:before="240" w:line="312"/>
        <w:jc w:val="left"/>
      </w:pPr>
      <w:bookmarkStart w:name="_Toc24" w:id="24"/>
      <w:r>
        <w:rPr>
          <w:rFonts w:ascii="Times New Roman" w:eastAsia="SimHei"/>
          <w:b/>
          <w:bCs/>
          <w:color w:val="16384F"/>
          <w:sz w:val="30"/>
          <w:szCs w:val="30"/>
        </w:rPr>
        <w:t xml:space="preserve">5.3 Protections techniques par risque</w:t>
      </w:r>
      <w:bookmarkEnd w:id="24"/>
    </w:p>
    <w:p>
      <w:pPr>
        <w:spacing w:after="120" w:line="312"/>
        <w:jc w:val="both"/>
      </w:pPr>
      <w:r>
        <w:rPr>
          <w:rFonts w:ascii="Times New Roman" w:eastAsia="SimSun"/>
          <w:color w:val="000000"/>
          <w:sz w:val="24"/>
          <w:szCs w:val="24"/>
        </w:rPr>
        <w:t xml:space="preserve">Le tableau suivant met en correspondance les risques identifiés et les protections prévues ; chaque protection se traduit en exigences de test concrètes (section 5.5 et section 10).</w:t>
      </w:r>
    </w:p>
    <w:p>
      <w:pPr>
        <w:keepNext/>
        <w:spacing w:after="100" w:before="240" w:line="312"/>
        <w:jc w:val="left"/>
      </w:pPr>
      <w:r>
        <w:rPr>
          <w:rFonts w:ascii="Times New Roman" w:eastAsia="SimSun"/>
          <w:b/>
          <w:bCs/>
          <w:color w:val="16384F"/>
          <w:sz w:val="21"/>
          <w:szCs w:val="21"/>
        </w:rPr>
        <w:t xml:space="preserve">Tableau 4 — Risques techniques et protections prévues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691"/>
        <w:gridCol w:w="5097"/>
      </w:tblGrid>
      <w:tr>
        <w:trPr>
          <w:cantSplit/>
          <w:tblHeader/>
        </w:trPr>
        <w:tc>
          <w:tcPr>
            <w:tcW w:type="pct" w:w="21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Risque</w:t>
            </w:r>
          </w:p>
        </w:tc>
        <w:tc>
          <w:tcPr>
            <w:tcW w:type="pct" w:w="29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Protection prévue</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Chemin manipulé pour sortir de la cible</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Résolution et validation du chemin, contrôles réitérés au moment de l'opération</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Lien symbolique pointant vers un fichier sensible</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Liens non suivis par défaut ; vérification du type de fichier et de la cible</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Fichier remplacé après la simulation</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Revalidation des attributs et du chemin immédiatement avant suppression</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Suppression massive accidentelle</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Limites de quantité et de taille, aperçu obligatoire, confirmation explicite</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Faux sentiment de restauration</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Quarantaine uniquement lorsqu'elle est réellement prise en charge ; aucune promesse de restauration universelle</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Accès administrateur excessif</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Séparation des opérations privilégiées et exécution au moindre privilège</w:t>
            </w:r>
          </w:p>
        </w:tc>
      </w:tr>
      <w:tr>
        <w:trPr>
          <w:cantSplit/>
        </w:trPr>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Crash en cours de nettoyage</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Journalisation des opérations et rapport d'état partiel</w:t>
            </w:r>
          </w:p>
        </w:tc>
      </w:tr>
    </w:tbl>
    <w:p>
      <w:pPr>
        <w:spacing w:after="120" w:line="312"/>
        <w:jc w:val="both"/>
      </w:pPr>
      <w:r>
        <w:rPr>
          <w:rFonts w:ascii="Times New Roman" w:eastAsia="SimSun"/>
          <w:color w:val="000000"/>
          <w:sz w:val="24"/>
          <w:szCs w:val="24"/>
        </w:rPr>
        <w:t xml:space="preserve">Un point subtil mérite d'être souligné : une validation de chemin à elle seule ne suffit pas contre les courses critiques entre vérification et suppression (TOCTOU), où un processus concurrent peut substituer un lien symbolique entre deux vérifications. Les opérations sensibles utiliseront donc les mécanismes propres à chaque système décrits en section 5.5, et leur comportement sera testé spécifiquement sur Linux et Windows.</w:t>
      </w:r>
    </w:p>
    <w:p>
      <w:pPr>
        <w:pStyle w:val="Heading2"/>
        <w:keepNext/>
        <w:spacing w:after="120" w:before="240" w:line="312"/>
        <w:jc w:val="left"/>
      </w:pPr>
      <w:bookmarkStart w:name="_Toc25" w:id="25"/>
      <w:r>
        <w:rPr>
          <w:rFonts w:ascii="Times New Roman" w:eastAsia="SimHei"/>
          <w:b/>
          <w:bCs/>
          <w:color w:val="16384F"/>
          <w:sz w:val="30"/>
          <w:szCs w:val="30"/>
        </w:rPr>
        <w:t xml:space="preserve">5.4 Classification des opérations par niveau de risque</w:t>
      </w:r>
      <w:bookmarkEnd w:id="25"/>
    </w:p>
    <w:p>
      <w:pPr>
        <w:spacing w:after="120" w:line="312"/>
        <w:jc w:val="both"/>
      </w:pPr>
      <w:r>
        <w:rPr>
          <w:rFonts w:ascii="Times New Roman" w:eastAsia="SimSun"/>
          <w:color w:val="000000"/>
          <w:sz w:val="24"/>
          <w:szCs w:val="24"/>
        </w:rPr>
        <w:t xml:space="preserve">Chaque règle de nettoyage indique un niveau de risque, qui conditionne l'affichage, les confirmations et les limites appliquées :</w:t>
      </w:r>
    </w:p>
    <w:p>
      <w:pPr>
        <w:pStyle w:val="ListParagraph"/>
        <w:numPr>
          <w:ilvl w:val="0"/>
          <w:numId w:val="1"/>
        </w:numPr>
        <w:spacing w:after="80" w:line="312"/>
        <w:jc w:val="left"/>
      </w:pPr>
      <w:r>
        <w:rPr>
          <w:rFonts w:ascii="Times New Roman" w:eastAsia="SimSun"/>
          <w:b/>
          <w:bCs/>
          <w:color w:val="000000"/>
          <w:sz w:val="24"/>
          <w:szCs w:val="24"/>
        </w:rPr>
        <w:t xml:space="preserve">Faible :</w:t>
      </w:r>
      <w:r>
        <w:rPr>
          <w:rFonts w:ascii="Times New Roman" w:eastAsia="SimSun"/>
          <w:color w:val="000000"/>
          <w:sz w:val="24"/>
          <w:szCs w:val="24"/>
        </w:rPr>
        <w:t xml:space="preserve"> fichiers temporaires explicitement identifiés et non utilisés.</w:t>
      </w:r>
    </w:p>
    <w:p>
      <w:pPr>
        <w:pStyle w:val="ListParagraph"/>
        <w:numPr>
          <w:ilvl w:val="0"/>
          <w:numId w:val="1"/>
        </w:numPr>
        <w:spacing w:after="80" w:line="312"/>
        <w:jc w:val="left"/>
      </w:pPr>
      <w:r>
        <w:rPr>
          <w:rFonts w:ascii="Times New Roman" w:eastAsia="SimSun"/>
          <w:b/>
          <w:bCs/>
          <w:color w:val="000000"/>
          <w:sz w:val="24"/>
          <w:szCs w:val="24"/>
        </w:rPr>
        <w:t xml:space="preserve">Modéré :</w:t>
      </w:r>
      <w:r>
        <w:rPr>
          <w:rFonts w:ascii="Times New Roman" w:eastAsia="SimSun"/>
          <w:color w:val="000000"/>
          <w:sz w:val="24"/>
          <w:szCs w:val="24"/>
        </w:rPr>
        <w:t xml:space="preserve"> caches applicatifs connus dont la reconstruction est possible, mais parfois coûteuse.</w:t>
      </w:r>
    </w:p>
    <w:p>
      <w:pPr>
        <w:pStyle w:val="ListParagraph"/>
        <w:numPr>
          <w:ilvl w:val="0"/>
          <w:numId w:val="1"/>
        </w:numPr>
        <w:spacing w:after="80" w:line="312"/>
        <w:jc w:val="left"/>
      </w:pPr>
      <w:r>
        <w:rPr>
          <w:rFonts w:ascii="Times New Roman" w:eastAsia="SimSun"/>
          <w:b/>
          <w:bCs/>
          <w:color w:val="000000"/>
          <w:sz w:val="24"/>
          <w:szCs w:val="24"/>
        </w:rPr>
        <w:t xml:space="preserve">Élevé :</w:t>
      </w:r>
      <w:r>
        <w:rPr>
          <w:rFonts w:ascii="Times New Roman" w:eastAsia="SimSun"/>
          <w:color w:val="000000"/>
          <w:sz w:val="24"/>
          <w:szCs w:val="24"/>
        </w:rPr>
        <w:t xml:space="preserve"> journaux utiles au diagnostic, caches partagés, données de gestionnaires de paquets ou fichiers dont l'usage est incertain.</w:t>
      </w:r>
    </w:p>
    <w:p>
      <w:pPr>
        <w:pStyle w:val="ListParagraph"/>
        <w:numPr>
          <w:ilvl w:val="0"/>
          <w:numId w:val="1"/>
        </w:numPr>
        <w:spacing w:after="80" w:line="312"/>
        <w:jc w:val="left"/>
      </w:pPr>
      <w:r>
        <w:rPr>
          <w:rFonts w:ascii="Times New Roman" w:eastAsia="SimSun"/>
          <w:b/>
          <w:bCs/>
          <w:color w:val="000000"/>
          <w:sz w:val="24"/>
          <w:szCs w:val="24"/>
        </w:rPr>
        <w:t xml:space="preserve">Interdit par défaut :</w:t>
      </w:r>
      <w:r>
        <w:rPr>
          <w:rFonts w:ascii="Times New Roman" w:eastAsia="SimSun"/>
          <w:color w:val="000000"/>
          <w:sz w:val="24"/>
          <w:szCs w:val="24"/>
        </w:rPr>
        <w:t xml:space="preserve"> documents personnels, données applicatives persistantes, fichiers système critiques, configurations non vérifiées et éléments nécessaires à la récupération du système.</w:t>
      </w:r>
    </w:p>
    <w:p>
      <w:pPr>
        <w:spacing w:after="120" w:line="312"/>
        <w:jc w:val="both"/>
      </w:pPr>
      <w:r>
        <w:rPr>
          <w:rFonts w:ascii="Times New Roman" w:eastAsia="SimSun"/>
          <w:color w:val="000000"/>
          <w:sz w:val="24"/>
          <w:szCs w:val="24"/>
        </w:rPr>
        <w:t xml:space="preserve">Une catégorie ne garantit jamais à elle seule qu'un fichier est supprimable : la décision dépend aussi de son emplacement, de son usage et de la règle qui le cible. La classification est donc une aide à la décision pour l'utilisateur, jamais un substitut à la liste d'autorisation ni à la confirmation explicite.</w:t>
      </w:r>
    </w:p>
    <w:p>
      <w:pPr>
        <w:pStyle w:val="Heading2"/>
        <w:keepNext/>
        <w:spacing w:after="120" w:before="240" w:line="312"/>
        <w:jc w:val="left"/>
      </w:pPr>
      <w:bookmarkStart w:name="_Toc26" w:id="26"/>
      <w:r>
        <w:rPr>
          <w:rFonts w:ascii="Times New Roman" w:eastAsia="SimHei"/>
          <w:b/>
          <w:bCs/>
          <w:color w:val="16384F"/>
          <w:sz w:val="30"/>
          <w:szCs w:val="30"/>
        </w:rPr>
        <w:t xml:space="preserve">5.5 Modèle de menaces simplifié et défenses par système</w:t>
      </w:r>
      <w:bookmarkEnd w:id="26"/>
    </w:p>
    <w:p>
      <w:pPr>
        <w:spacing w:after="120" w:line="312"/>
        <w:jc w:val="both"/>
      </w:pPr>
      <w:r>
        <w:rPr>
          <w:rFonts w:ascii="Times New Roman" w:eastAsia="SimSun"/>
          <w:color w:val="000000"/>
          <w:sz w:val="24"/>
          <w:szCs w:val="24"/>
        </w:rPr>
        <w:t xml:space="preserve">Le modèle de menaces retenu adapte les familles classiques au cas d'un nettoyeur : usurpation de cible (lien symbolique ou junction substitué), évasion de validation (traversée de chemin hors périmètre), course critique entre simulation et exécution, déni par interruption en cours d'opération et élévation de privilèges. Chaque menace dispose d'une défense spécifique par système et d'une vérification par test dédié.</w:t>
      </w:r>
    </w:p>
    <w:p>
      <w:pPr>
        <w:spacing w:after="120" w:line="312"/>
        <w:jc w:val="both"/>
      </w:pPr>
      <w:r>
        <w:rPr>
          <w:rFonts w:ascii="Times New Roman" w:eastAsia="SimSun"/>
          <w:color w:val="000000"/>
          <w:sz w:val="24"/>
          <w:szCs w:val="24"/>
        </w:rPr>
        <w:t xml:space="preserve">Sous Linux, les opérations sensibles passeront par des descripteurs de fichier ouverts avec O_NOFOLLOW, ou par openat2 lorsque disponible avec l'attribut RESOLVE_NO_SYMLINKS, la revalidation s'effectuant par fstat sur le descripteur avant toute suppression. Sous Windows, les ouvertures utiliseront FILE_FLAG_OPEN_REPARSE_POINT pour ne pas suivre les liens, les handles porteront des modes de partage restrictifs, et la suppression s'appuiera sur la sémantique POSIX par handle, avec revalidation du numéro d'index et des attributs entre simulation et exécution.</w:t>
      </w:r>
    </w:p>
    <w:p>
      <w:pPr>
        <w:spacing w:after="120" w:line="312"/>
        <w:jc w:val="both"/>
      </w:pPr>
      <w:r>
        <w:rPr>
          <w:rFonts w:ascii="Times New Roman" w:eastAsia="SimSun"/>
          <w:color w:val="000000"/>
          <w:sz w:val="24"/>
          <w:szCs w:val="24"/>
        </w:rPr>
        <w:t xml:space="preserve">La vérification est organisationnelle autant que technique : une campagne de tests de sécurité dédiée exécute des arborescences piégées — liens vers des fichiers sensibles, chemins avec espaces et caractères Unicode, fichiers remplacés ou supprimés pendant l'analyse, permissions refusées — sur les deux systèmes en intégration continue. Le critère d'arrêt est strict : toute suppression hors liste d'autorisation, même une seule, bloque la publication (section 10.2).</w:t>
      </w:r>
    </w:p>
    <w:p>
      <w:pPr>
        <w:pStyle w:val="Heading1"/>
        <w:keepNext/>
        <w:spacing w:after="160" w:before="360" w:line="312"/>
        <w:jc w:val="center"/>
      </w:pPr>
      <w:bookmarkStart w:name="_Toc27" w:id="27"/>
      <w:r>
        <w:rPr>
          <w:rFonts w:ascii="Times New Roman" w:eastAsia="SimHei"/>
          <w:b/>
          <w:bCs/>
          <w:color w:val="16384F"/>
          <w:sz w:val="32"/>
          <w:szCs w:val="32"/>
        </w:rPr>
        <w:t xml:space="preserve">6. Moteur de nettoyage</w:t>
      </w:r>
      <w:bookmarkEnd w:id="27"/>
    </w:p>
    <w:p>
      <w:pPr>
        <w:pStyle w:val="Heading2"/>
        <w:keepNext/>
        <w:spacing w:after="120" w:before="240" w:line="312"/>
        <w:jc w:val="left"/>
      </w:pPr>
      <w:bookmarkStart w:name="_Toc28" w:id="28"/>
      <w:r>
        <w:rPr>
          <w:rFonts w:ascii="Times New Roman" w:eastAsia="SimHei"/>
          <w:b/>
          <w:bCs/>
          <w:color w:val="16384F"/>
          <w:sz w:val="30"/>
          <w:szCs w:val="30"/>
        </w:rPr>
        <w:t xml:space="preserve">6.1 Pipeline d'exécution</w:t>
      </w:r>
      <w:bookmarkEnd w:id="28"/>
    </w:p>
    <w:p>
      <w:pPr>
        <w:spacing w:after="120" w:line="312"/>
        <w:jc w:val="both"/>
      </w:pPr>
      <w:r>
        <w:rPr>
          <w:rFonts w:ascii="Times New Roman" w:eastAsia="SimSun"/>
          <w:color w:val="000000"/>
          <w:sz w:val="24"/>
          <w:szCs w:val="24"/>
        </w:rPr>
        <w:t xml:space="preserve">Le nettoyage suit un pipeline précis dont l'objet est d'empêcher l'interface de déclencher une suppression non contrôlée. La figure 1 présente les deux phases : le diagnostic en lecture seule, puis le nettoyage contrôlé avec ses deux points de décision bloquants et sa mesure du résultat réel.</w:t>
      </w:r>
    </w:p>
    <w:p>
      <w:pPr>
        <w:keepNext/>
        <w:spacing w:after="60" w:before="160"/>
        <w:jc w:val="center"/>
      </w:pPr>
      <w:r>
        <w:drawing>
          <wp:inline distT="0" distB="0" distL="0" distR="0">
            <wp:extent cx="5143500" cy="77533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753350"/>
                    </a:xfrm>
                    <a:prstGeom prst="rect">
                      <a:avLst/>
                    </a:prstGeom>
                  </pic:spPr>
                </pic:pic>
              </a:graphicData>
            </a:graphic>
          </wp:inline>
        </w:drawing>
      </w:r>
    </w:p>
    <w:p>
      <w:pPr>
        <w:spacing w:after="240" w:line="312"/>
        <w:jc w:val="center"/>
      </w:pPr>
      <w:r>
        <w:rPr>
          <w:rFonts w:ascii="Times New Roman" w:eastAsia="SimSun"/>
          <w:color w:val="55606B"/>
          <w:sz w:val="21"/>
          <w:szCs w:val="21"/>
        </w:rPr>
        <w:t xml:space="preserve">Figure 1 — Pipeline de nettoyage de NettOS : diagnostic en lecture seule puis nettoyage contrôlé</w:t>
      </w:r>
    </w:p>
    <w:p>
      <w:pPr>
        <w:spacing w:after="120" w:line="312"/>
        <w:jc w:val="both"/>
      </w:pPr>
      <w:r>
        <w:rPr>
          <w:rFonts w:ascii="Times New Roman" w:eastAsia="SimSun"/>
          <w:color w:val="000000"/>
          <w:sz w:val="24"/>
          <w:szCs w:val="24"/>
        </w:rPr>
        <w:t xml:space="preserve">Deux propriétés méritent d'être soulignées. D'une part, les points de décision sont réellement bloquants : sans confirmation explicite, aucune suppression n'a lieu ; si une cible revalidée s'avère hors autorisation, l'opération correspondante est ignorée et journalisée, et le reste du lot se poursuit sans elle. D'autre part, la mesure finale du résultat réel est distincte de la taille théorique des cibles : les liens physiques, la compression et les fichiers encore ouverts font que l'espace effectivement libéré peut différer de l'estimation, et le rapport final mentionne les deux chiffres.</w:t>
      </w:r>
    </w:p>
    <w:p>
      <w:pPr>
        <w:pStyle w:val="Heading2"/>
        <w:keepNext/>
        <w:spacing w:after="120" w:before="240" w:line="312"/>
        <w:jc w:val="left"/>
      </w:pPr>
      <w:bookmarkStart w:name="_Toc29" w:id="29"/>
      <w:r>
        <w:rPr>
          <w:rFonts w:ascii="Times New Roman" w:eastAsia="SimHei"/>
          <w:b/>
          <w:bCs/>
          <w:color w:val="16384F"/>
          <w:sz w:val="30"/>
          <w:szCs w:val="30"/>
        </w:rPr>
        <w:t xml:space="preserve">6.2 Contrat commun d'un nettoyeur</w:t>
      </w:r>
      <w:bookmarkEnd w:id="29"/>
    </w:p>
    <w:p>
      <w:pPr>
        <w:spacing w:after="120" w:line="312"/>
        <w:jc w:val="both"/>
      </w:pPr>
      <w:r>
        <w:rPr>
          <w:rFonts w:ascii="Times New Roman" w:eastAsia="SimSun"/>
          <w:color w:val="000000"/>
          <w:sz w:val="24"/>
          <w:szCs w:val="24"/>
        </w:rPr>
        <w:t xml:space="preserve">Un nettoyeur doit être prévisible et testable. Chaque nettoyeur expose au minimum les éléments suivants :</w:t>
      </w:r>
    </w:p>
    <w:p>
      <w:pPr>
        <w:pStyle w:val="ListParagraph"/>
        <w:numPr>
          <w:ilvl w:val="0"/>
          <w:numId w:val="4"/>
        </w:numPr>
        <w:spacing w:after="80" w:line="312"/>
        <w:jc w:val="left"/>
      </w:pPr>
      <w:r>
        <w:rPr>
          <w:rFonts w:ascii="Times New Roman" w:eastAsia="SimSun"/>
          <w:color w:val="000000"/>
          <w:sz w:val="24"/>
          <w:szCs w:val="24"/>
        </w:rPr>
        <w:t xml:space="preserve">Son identifiant et sa version.</w:t>
      </w:r>
    </w:p>
    <w:p>
      <w:pPr>
        <w:pStyle w:val="ListParagraph"/>
        <w:numPr>
          <w:ilvl w:val="0"/>
          <w:numId w:val="4"/>
        </w:numPr>
        <w:spacing w:after="80" w:line="312"/>
        <w:jc w:val="left"/>
      </w:pPr>
      <w:r>
        <w:rPr>
          <w:rFonts w:ascii="Times New Roman" w:eastAsia="SimSun"/>
          <w:color w:val="000000"/>
          <w:sz w:val="24"/>
          <w:szCs w:val="24"/>
        </w:rPr>
        <w:t xml:space="preserve">Les systèmes d'exploitation compatibles.</w:t>
      </w:r>
    </w:p>
    <w:p>
      <w:pPr>
        <w:pStyle w:val="ListParagraph"/>
        <w:numPr>
          <w:ilvl w:val="0"/>
          <w:numId w:val="4"/>
        </w:numPr>
        <w:spacing w:after="80" w:line="312"/>
        <w:jc w:val="left"/>
      </w:pPr>
      <w:r>
        <w:rPr>
          <w:rFonts w:ascii="Times New Roman" w:eastAsia="SimSun"/>
          <w:color w:val="000000"/>
          <w:sz w:val="24"/>
          <w:szCs w:val="24"/>
        </w:rPr>
        <w:t xml:space="preserve">Les cibles qu'il peut analyser.</w:t>
      </w:r>
    </w:p>
    <w:p>
      <w:pPr>
        <w:pStyle w:val="ListParagraph"/>
        <w:numPr>
          <w:ilvl w:val="0"/>
          <w:numId w:val="4"/>
        </w:numPr>
        <w:spacing w:after="80" w:line="312"/>
        <w:jc w:val="left"/>
      </w:pPr>
      <w:r>
        <w:rPr>
          <w:rFonts w:ascii="Times New Roman" w:eastAsia="SimSun"/>
          <w:color w:val="000000"/>
          <w:sz w:val="24"/>
          <w:szCs w:val="24"/>
        </w:rPr>
        <w:t xml:space="preserve">Ses exclusions obligatoires.</w:t>
      </w:r>
    </w:p>
    <w:p>
      <w:pPr>
        <w:pStyle w:val="ListParagraph"/>
        <w:numPr>
          <w:ilvl w:val="0"/>
          <w:numId w:val="4"/>
        </w:numPr>
        <w:spacing w:after="80" w:line="312"/>
        <w:jc w:val="left"/>
      </w:pPr>
      <w:r>
        <w:rPr>
          <w:rFonts w:ascii="Times New Roman" w:eastAsia="SimSun"/>
          <w:color w:val="000000"/>
          <w:sz w:val="24"/>
          <w:szCs w:val="24"/>
        </w:rPr>
        <w:t xml:space="preserve">Son niveau de risque.</w:t>
      </w:r>
    </w:p>
    <w:p>
      <w:pPr>
        <w:pStyle w:val="ListParagraph"/>
        <w:numPr>
          <w:ilvl w:val="0"/>
          <w:numId w:val="4"/>
        </w:numPr>
        <w:spacing w:after="80" w:line="312"/>
        <w:jc w:val="left"/>
      </w:pPr>
      <w:r>
        <w:rPr>
          <w:rFonts w:ascii="Times New Roman" w:eastAsia="SimSun"/>
          <w:color w:val="000000"/>
          <w:sz w:val="24"/>
          <w:szCs w:val="24"/>
        </w:rPr>
        <w:t xml:space="preserve">Sa méthode de simulation.</w:t>
      </w:r>
    </w:p>
    <w:p>
      <w:pPr>
        <w:pStyle w:val="ListParagraph"/>
        <w:numPr>
          <w:ilvl w:val="0"/>
          <w:numId w:val="4"/>
        </w:numPr>
        <w:spacing w:after="80" w:line="312"/>
        <w:jc w:val="left"/>
      </w:pPr>
      <w:r>
        <w:rPr>
          <w:rFonts w:ascii="Times New Roman" w:eastAsia="SimSun"/>
          <w:color w:val="000000"/>
          <w:sz w:val="24"/>
          <w:szCs w:val="24"/>
        </w:rPr>
        <w:t xml:space="preserve">Sa méthode d'exécution.</w:t>
      </w:r>
    </w:p>
    <w:p>
      <w:pPr>
        <w:pStyle w:val="ListParagraph"/>
        <w:numPr>
          <w:ilvl w:val="0"/>
          <w:numId w:val="4"/>
        </w:numPr>
        <w:spacing w:after="80" w:line="312"/>
        <w:jc w:val="left"/>
      </w:pPr>
      <w:r>
        <w:rPr>
          <w:rFonts w:ascii="Times New Roman" w:eastAsia="SimSun"/>
          <w:color w:val="000000"/>
          <w:sz w:val="24"/>
          <w:szCs w:val="24"/>
        </w:rPr>
        <w:t xml:space="preserve">Sa manière de vérifier le résultat.</w:t>
      </w:r>
    </w:p>
    <w:p>
      <w:pPr>
        <w:spacing w:after="120" w:line="312"/>
        <w:jc w:val="both"/>
      </w:pPr>
      <w:r>
        <w:rPr>
          <w:rFonts w:ascii="Times New Roman" w:eastAsia="SimSun"/>
          <w:color w:val="000000"/>
          <w:sz w:val="24"/>
          <w:szCs w:val="24"/>
        </w:rPr>
        <w:t xml:space="preserve">Le moteur n'exécute pas de code de nettoyage téléchargé depuis Internet : les nouvelles règles sont livrées avec le logiciel, examinées et testées comme tout code source. Chaque nettoyeur est testable indépendamment de l'interface et exécutable en simulation sans effet de bord ; cette propriété conditionne directement la testabilité du pipeline entier et l'automatisation des campagnes de sécurité.</w:t>
      </w:r>
    </w:p>
    <w:p>
      <w:pPr>
        <w:pStyle w:val="Heading2"/>
        <w:keepNext/>
        <w:spacing w:after="120" w:before="240" w:line="312"/>
        <w:jc w:val="left"/>
      </w:pPr>
      <w:bookmarkStart w:name="_Toc30" w:id="30"/>
      <w:r>
        <w:rPr>
          <w:rFonts w:ascii="Times New Roman" w:eastAsia="SimHei"/>
          <w:b/>
          <w:bCs/>
          <w:color w:val="16384F"/>
          <w:sz w:val="30"/>
          <w:szCs w:val="30"/>
        </w:rPr>
        <w:t xml:space="preserve">6.3 Quarantaine minimale</w:t>
      </w:r>
      <w:bookmarkEnd w:id="30"/>
    </w:p>
    <w:p>
      <w:pPr>
        <w:spacing w:after="120" w:line="312"/>
        <w:jc w:val="both"/>
      </w:pPr>
      <w:r>
        <w:rPr>
          <w:rFonts w:ascii="Times New Roman" w:eastAsia="SimSun"/>
          <w:color w:val="000000"/>
          <w:sz w:val="24"/>
          <w:szCs w:val="24"/>
        </w:rPr>
        <w:t xml:space="preserve">La version 1.1 introduit une quarantaine minimale au cœur du MVP. Lorsque le système le permet, l'opération de nettoyage déplace les fichiers vers un répertoire de quarantaine accompagné d'un enregistrement de métadonnées — chemin d'origine, règle responsable, date, taille et empreinte — plutôt que de les supprimer immédiatement. La restauration reste possible tant que la quarantaine n'est pas purgée, la purge intervenant après un délai paramétrable et moyennant confirmation explicite.</w:t>
      </w:r>
    </w:p>
    <w:p>
      <w:pPr>
        <w:spacing w:after="120" w:line="312"/>
        <w:jc w:val="both"/>
      </w:pPr>
      <w:r>
        <w:rPr>
          <w:rFonts w:ascii="Times New Roman" w:eastAsia="SimSun"/>
          <w:color w:val="000000"/>
          <w:sz w:val="24"/>
          <w:szCs w:val="24"/>
        </w:rPr>
        <w:t xml:space="preserve">Cette garantie reste honnête sur ses limites : la quarantaine n'est pas une sauvegarde, elle est impossible dans certains cas — volumes différents, permissions insuffisantes — et dans ces cas l'opération est signalée comme irréversible avant confirmation. Quand la cible réside sur le même volume, le déplacement en quarantaine utilise un renommage atomique, ce qui réduit fortement la fenêtre de risque. Cette mécanique transforme la promesse de sécurité du logiciel en récupérabilité concrète après une erreur ou un défaut.</w:t>
      </w:r>
    </w:p>
    <w:p>
      <w:pPr>
        <w:pStyle w:val="Heading2"/>
        <w:keepNext/>
        <w:spacing w:after="120" w:before="240" w:line="312"/>
        <w:jc w:val="left"/>
      </w:pPr>
      <w:bookmarkStart w:name="_Toc31" w:id="31"/>
      <w:r>
        <w:rPr>
          <w:rFonts w:ascii="Times New Roman" w:eastAsia="SimHei"/>
          <w:b/>
          <w:bCs/>
          <w:color w:val="16384F"/>
          <w:sz w:val="30"/>
          <w:szCs w:val="30"/>
        </w:rPr>
        <w:t xml:space="preserve">6.4 Versionnage et cycle de vie des règles</w:t>
      </w:r>
      <w:bookmarkEnd w:id="31"/>
    </w:p>
    <w:p>
      <w:pPr>
        <w:spacing w:after="120" w:line="312"/>
        <w:jc w:val="both"/>
      </w:pPr>
      <w:r>
        <w:rPr>
          <w:rFonts w:ascii="Times New Roman" w:eastAsia="SimSun"/>
          <w:color w:val="000000"/>
          <w:sz w:val="24"/>
          <w:szCs w:val="24"/>
        </w:rPr>
        <w:t xml:space="preserve">Chaque règle porte une version et une date de validité. Les emplacements de caches évoluent en effet au fil des versions des outils — gestionnaires de paquets, navigateurs, chaînes de compilation — et une règle sans date de validité devient silencieusement fausse lorsqu'un emplacement change. Le journal du logiciel mentionne la version du jeu de règles utilisée pour chaque opération, ce qui permet de reconstruire a posteriori le contexte d'un nettoyage ancien.</w:t>
      </w:r>
    </w:p>
    <w:p>
      <w:pPr>
        <w:spacing w:after="120" w:line="312"/>
        <w:jc w:val="both"/>
      </w:pPr>
      <w:r>
        <w:rPr>
          <w:rFonts w:ascii="Times New Roman" w:eastAsia="SimSun"/>
          <w:color w:val="000000"/>
          <w:sz w:val="24"/>
          <w:szCs w:val="24"/>
        </w:rPr>
        <w:t xml:space="preserve">Le cycle de vie est explicite : les règles sont livrées avec l'application, révisées et testées comme tout code ; une règle obsolète est désactivée nommément avec une note dans le journal des modifications ; un canal de mise à jour de données de règles signées pourrait être étudié après stabilisation, au titre d'une décision documentée. Aucun chargement dynamique de code n'est envisagé, conformément à la règle 6 d'architecture.</w:t>
      </w:r>
    </w:p>
    <w:p>
      <w:pPr>
        <w:pStyle w:val="Heading1"/>
        <w:keepNext/>
        <w:spacing w:after="160" w:before="360" w:line="312"/>
        <w:jc w:val="center"/>
      </w:pPr>
      <w:bookmarkStart w:name="_Toc32" w:id="32"/>
      <w:r>
        <w:rPr>
          <w:rFonts w:ascii="Times New Roman" w:eastAsia="SimHei"/>
          <w:b/>
          <w:bCs/>
          <w:color w:val="16384F"/>
          <w:sz w:val="32"/>
          <w:szCs w:val="32"/>
        </w:rPr>
        <w:t xml:space="preserve">7. Diagnostic système avancé</w:t>
      </w:r>
      <w:bookmarkEnd w:id="32"/>
    </w:p>
    <w:p>
      <w:pPr>
        <w:spacing w:after="120" w:line="312"/>
        <w:jc w:val="both"/>
      </w:pPr>
      <w:r>
        <w:rPr>
          <w:rFonts w:ascii="Times New Roman" w:eastAsia="SimSun"/>
          <w:color w:val="000000"/>
          <w:sz w:val="24"/>
          <w:szCs w:val="24"/>
        </w:rPr>
        <w:t xml:space="preserve">Le diagnostic est le domaine où NettOS peut se différencier le plus nettement des nettoyeurs existants. Les sous-sections qui suivent précisent ce que chaque analyse mesure, ce qu'elle ne prétend pas mesurer, et la manière dont les résultats sont présentés à l'utilisateur.</w:t>
      </w:r>
    </w:p>
    <w:p>
      <w:pPr>
        <w:pStyle w:val="Heading2"/>
        <w:keepNext/>
        <w:spacing w:after="120" w:before="240" w:line="312"/>
        <w:jc w:val="left"/>
      </w:pPr>
      <w:bookmarkStart w:name="_Toc33" w:id="33"/>
      <w:r>
        <w:rPr>
          <w:rFonts w:ascii="Times New Roman" w:eastAsia="SimHei"/>
          <w:b/>
          <w:bCs/>
          <w:color w:val="16384F"/>
          <w:sz w:val="30"/>
          <w:szCs w:val="30"/>
        </w:rPr>
        <w:t xml:space="preserve">7.1 Analyse de stockage</w:t>
      </w:r>
      <w:bookmarkEnd w:id="33"/>
    </w:p>
    <w:p>
      <w:pPr>
        <w:spacing w:after="120" w:line="312"/>
        <w:jc w:val="both"/>
      </w:pPr>
      <w:r>
        <w:rPr>
          <w:rFonts w:ascii="Times New Roman" w:eastAsia="SimSun"/>
          <w:color w:val="000000"/>
          <w:sz w:val="24"/>
          <w:szCs w:val="24"/>
        </w:rPr>
        <w:t xml:space="preserve">Le diagnostic mesure l'espace total, utilisé et disponible par volume, classe les répertoires par taille et distingue, lorsque le système le permet, les tailles logiques des mesures réelles (fichiers creux, compression). Les zones inaccessibles — permissions refusées, points de montage défaillants — sont signalées comme telles au lieu de prétendre avoir tout analysé : un diagnostic qui cache ce qu'il n'a pas pu voir n'est pas fiable.</w:t>
      </w:r>
    </w:p>
    <w:p>
      <w:pPr>
        <w:pStyle w:val="Heading2"/>
        <w:keepNext/>
        <w:spacing w:after="120" w:before="240" w:line="312"/>
        <w:jc w:val="left"/>
      </w:pPr>
      <w:bookmarkStart w:name="_Toc34" w:id="34"/>
      <w:r>
        <w:rPr>
          <w:rFonts w:ascii="Times New Roman" w:eastAsia="SimHei"/>
          <w:b/>
          <w:bCs/>
          <w:color w:val="16384F"/>
          <w:sz w:val="30"/>
          <w:szCs w:val="30"/>
        </w:rPr>
        <w:t xml:space="preserve">7.2 Analyse des fichiers et détection de doublons</w:t>
      </w:r>
      <w:bookmarkEnd w:id="34"/>
    </w:p>
    <w:p>
      <w:pPr>
        <w:spacing w:after="120" w:line="312"/>
        <w:jc w:val="both"/>
      </w:pPr>
      <w:r>
        <w:rPr>
          <w:rFonts w:ascii="Times New Roman" w:eastAsia="SimSun"/>
          <w:color w:val="000000"/>
          <w:sz w:val="24"/>
          <w:szCs w:val="24"/>
        </w:rPr>
        <w:t xml:space="preserve">L'analyse détecte les fichiers volumineux, les temporaires anciens et les doublons potentiels. La détection de doublons procède en deux temps : comparaison des tailles d'abord, vérification du contenu ensuite, avant de conclure à des copies identiques. Au MVP, cette vérification de contenu reste limitée aux candidats retenus par la taille, avec une empreinte partielle puis complète si nécessaire, car le coût de calcul peut être significatif sur de grands volumes ; la détection avancée reste une évolution ultérieure.</w:t>
      </w:r>
    </w:p>
    <w:p>
      <w:pPr>
        <w:pStyle w:val="Heading2"/>
        <w:keepNext/>
        <w:spacing w:after="120" w:before="240" w:line="312"/>
        <w:jc w:val="left"/>
      </w:pPr>
      <w:bookmarkStart w:name="_Toc35" w:id="35"/>
      <w:r>
        <w:rPr>
          <w:rFonts w:ascii="Times New Roman" w:eastAsia="SimHei"/>
          <w:b/>
          <w:bCs/>
          <w:color w:val="16384F"/>
          <w:sz w:val="30"/>
          <w:szCs w:val="30"/>
        </w:rPr>
        <w:t xml:space="preserve">7.3 Suivi de l'évolution dans le temps</w:t>
      </w:r>
      <w:bookmarkEnd w:id="35"/>
    </w:p>
    <w:p>
      <w:pPr>
        <w:spacing w:after="120" w:line="312"/>
        <w:jc w:val="both"/>
      </w:pPr>
      <w:r>
        <w:rPr>
          <w:rFonts w:ascii="Times New Roman" w:eastAsia="SimSun"/>
          <w:color w:val="000000"/>
          <w:sz w:val="24"/>
          <w:szCs w:val="24"/>
        </w:rPr>
        <w:t xml:space="preserve">La comparaison d'analyses successives identifie les répertoires dont la taille augmente anormalement. Cette fonction précise toujours la période de comparaison et la quantité de données effectivement observée, pour éviter les interprétations hâtives : une croissance rapportée sans contexte n'a pas de valeur diagnostique. La comparaison simple entre deux analyses relève du MVP dès que l'historique SQLite est en place (phase 5 du calendrier) ; les alertes automatiques restent une évolution ultérieure.</w:t>
      </w:r>
    </w:p>
    <w:p>
      <w:pPr>
        <w:pStyle w:val="Heading2"/>
        <w:keepNext/>
        <w:spacing w:after="120" w:before="240" w:line="312"/>
        <w:jc w:val="left"/>
      </w:pPr>
      <w:bookmarkStart w:name="_Toc36" w:id="36"/>
      <w:r>
        <w:rPr>
          <w:rFonts w:ascii="Times New Roman" w:eastAsia="SimHei"/>
          <w:b/>
          <w:bCs/>
          <w:color w:val="16384F"/>
          <w:sz w:val="30"/>
          <w:szCs w:val="30"/>
        </w:rPr>
        <w:t xml:space="preserve">7.4 Diagnostic orienté développeur</w:t>
      </w:r>
      <w:bookmarkEnd w:id="36"/>
    </w:p>
    <w:p>
      <w:pPr>
        <w:spacing w:after="120" w:line="312"/>
        <w:jc w:val="both"/>
      </w:pPr>
      <w:r>
        <w:rPr>
          <w:rFonts w:ascii="Times New Roman" w:eastAsia="SimSun"/>
          <w:color w:val="000000"/>
          <w:sz w:val="24"/>
          <w:szCs w:val="24"/>
        </w:rPr>
        <w:t xml:space="preserve">Le logiciel détecte les gestionnaires de paquets et les outils installés, puis propose des règles dédiées. Nettoyer un cache npm n'est en effet pas équivalent à supprimer node_modules, un environnement virtuel Python ou un répertoire de compilation : les conséquences, le coût de reconstruction et le niveau de risque diffèrent. Des règles système spécifiques et sûres — caches de paquets sous Linux, anciennes révisions Flatpak ou Snap, rotation des journaux système — constituent les candidates naturelles pour l'élargissement post-MVP, chacune soumise aux mêmes exigences de simulation et d'autorisation.</w:t>
      </w:r>
    </w:p>
    <w:p>
      <w:pPr>
        <w:pStyle w:val="Heading2"/>
        <w:keepNext/>
        <w:spacing w:after="120" w:before="240" w:line="312"/>
        <w:jc w:val="left"/>
      </w:pPr>
      <w:bookmarkStart w:name="_Toc37" w:id="37"/>
      <w:r>
        <w:rPr>
          <w:rFonts w:ascii="Times New Roman" w:eastAsia="SimHei"/>
          <w:b/>
          <w:bCs/>
          <w:color w:val="16384F"/>
          <w:sz w:val="30"/>
          <w:szCs w:val="30"/>
        </w:rPr>
        <w:t xml:space="preserve">7.5 Rapport explicable et honnêteté du diagnostic</w:t>
      </w:r>
      <w:bookmarkEnd w:id="37"/>
    </w:p>
    <w:p>
      <w:pPr>
        <w:spacing w:after="120" w:line="312"/>
        <w:jc w:val="both"/>
      </w:pPr>
      <w:r>
        <w:rPr>
          <w:rFonts w:ascii="Times New Roman" w:eastAsia="SimSun"/>
          <w:color w:val="000000"/>
          <w:sz w:val="24"/>
          <w:szCs w:val="24"/>
        </w:rPr>
        <w:t xml:space="preserve">Chaque recommandation comporte une observation, une preuve mesurable, une explication, un niveau de risque et une action possible. Si le logiciel ne peut pas conclure, il répond « inconnu » : cette réponse est une valeur, pas un aveu d'échec, car elle protège l'utilisateur contre les fausses certitudes. Le MVP se limite délibérément aux diagnostics objectivement vérifiables : la température, la santé physique des disques, les causes de lenteur ou les anomalies de mémoire nécessitent des sources et des méthodes spécifiques que la seule occupation du stockage ne fournit pas.</w:t>
      </w:r>
    </w:p>
    <w:p>
      <w:pPr>
        <w:pStyle w:val="Heading1"/>
        <w:keepNext/>
        <w:spacing w:after="160" w:before="360" w:line="312"/>
        <w:jc w:val="center"/>
      </w:pPr>
      <w:bookmarkStart w:name="_Toc38" w:id="38"/>
      <w:r>
        <w:rPr>
          <w:rFonts w:ascii="Times New Roman" w:eastAsia="SimHei"/>
          <w:b/>
          <w:bCs/>
          <w:color w:val="16384F"/>
          <w:sz w:val="32"/>
          <w:szCs w:val="32"/>
        </w:rPr>
        <w:t xml:space="preserve">8. Exigences non fonctionnelles</w:t>
      </w:r>
      <w:bookmarkEnd w:id="38"/>
    </w:p>
    <w:p>
      <w:pPr>
        <w:pStyle w:val="Heading2"/>
        <w:keepNext/>
        <w:spacing w:after="120" w:before="240" w:line="312"/>
        <w:jc w:val="left"/>
      </w:pPr>
      <w:bookmarkStart w:name="_Toc39" w:id="39"/>
      <w:r>
        <w:rPr>
          <w:rFonts w:ascii="Times New Roman" w:eastAsia="SimHei"/>
          <w:b/>
          <w:bCs/>
          <w:color w:val="16384F"/>
          <w:sz w:val="30"/>
          <w:szCs w:val="30"/>
        </w:rPr>
        <w:t xml:space="preserve">8.1 Budgets de performance</w:t>
      </w:r>
      <w:bookmarkEnd w:id="39"/>
    </w:p>
    <w:p>
      <w:pPr>
        <w:spacing w:after="120" w:line="312"/>
        <w:jc w:val="both"/>
      </w:pPr>
      <w:r>
        <w:rPr>
          <w:rFonts w:ascii="Times New Roman" w:eastAsia="SimSun"/>
          <w:color w:val="000000"/>
          <w:sz w:val="24"/>
          <w:szCs w:val="24"/>
        </w:rPr>
        <w:t xml:space="preserve">La version 1.0 affirmait la légèreté sans la chiffrer ; la version 1.1 convertit cette exigence en budgets vérifiables. Ces cibles sont des engagements de conception, recalibrés si le matériel réel le justifie lors de la première alpha, toute dérive étant documentée dans le journal des modifications.</w:t>
      </w:r>
    </w:p>
    <w:p>
      <w:pPr>
        <w:keepNext/>
        <w:spacing w:after="100" w:before="240" w:line="312"/>
        <w:jc w:val="left"/>
      </w:pPr>
      <w:r>
        <w:rPr>
          <w:rFonts w:ascii="Times New Roman" w:eastAsia="SimSun"/>
          <w:b/>
          <w:bCs/>
          <w:color w:val="16384F"/>
          <w:sz w:val="21"/>
          <w:szCs w:val="21"/>
        </w:rPr>
        <w:t xml:space="preserve">Tableau 5 — Budgets de performance du MVP</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339"/>
        <w:gridCol w:w="1318"/>
        <w:gridCol w:w="4130"/>
      </w:tblGrid>
      <w:tr>
        <w:trPr>
          <w:cantSplit/>
          <w:tblHeader/>
        </w:trPr>
        <w:tc>
          <w:tcPr>
            <w:tcW w:type="pct" w:w="19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Indicateur</w:t>
            </w:r>
          </w:p>
        </w:tc>
        <w:tc>
          <w:tcPr>
            <w:tcW w:type="pct" w:w="7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Cible</w:t>
            </w:r>
          </w:p>
        </w:tc>
        <w:tc>
          <w:tcPr>
            <w:tcW w:type="pct" w:w="23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Méthode de vérification</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Scan en lecture seule d'un million de fichiers sur SSD</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60 s maximum</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 d'intégration avec arborescence générée, exécuté en CI puis calibré sur matériel réel</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Empreinte mémoire du moteur pendant ce scan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300 Mo maximum</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Mesure automatisée ; agrégats traités en flux, sans liste exhaustive en mémoire</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Démarrage de l'application jusqu'à l'affichage</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 s maximum</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Mesure scriptée sur le matériel de référence de chaque plateforme</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Simulation de 10 000 cibles</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s maximum</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 d'intégration sur fixtures dédiées</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Réactivité de l'interface pendant une analyse</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Aucun blocage</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Analyse hors thread graphique ; test d'annulation effective</w:t>
            </w:r>
          </w:p>
        </w:tc>
      </w:tr>
      <w:tr>
        <w:trPr>
          <w:cantSplit/>
        </w:trPr>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Taille du paquet de distribution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150 Mo maximum</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Mesure à chaque publication, comparée entre AppImage et installateur Windows</w:t>
            </w:r>
          </w:p>
        </w:tc>
      </w:tr>
    </w:tbl>
    <w:p>
      <w:pPr>
        <w:spacing w:after="120" w:line="312"/>
        <w:jc w:val="both"/>
      </w:pPr>
      <w:r>
        <w:rPr>
          <w:rFonts w:ascii="Times New Roman" w:eastAsia="SimSun"/>
          <w:color w:val="000000"/>
          <w:sz w:val="24"/>
          <w:szCs w:val="24"/>
        </w:rPr>
        <w:t xml:space="preserve">Le seuil de 150 Mo pour les paquets est une hypothèse de travail liée à PySide6 ; la mesure dès les prototypes permettra soit de le confirmer, soit de documenter l'écart et d'étudier des alternatives de packaging. Aucune de ces cibles ne justifie d'affaiblir les exigences de sécurité : un scan plus lent mais exact reste préférable à un scan rapide mais aveugle aux erreurs.</w:t>
      </w:r>
    </w:p>
    <w:p>
      <w:pPr>
        <w:pStyle w:val="Heading2"/>
        <w:keepNext/>
        <w:spacing w:after="120" w:before="240" w:line="312"/>
        <w:jc w:val="left"/>
      </w:pPr>
      <w:bookmarkStart w:name="_Toc40" w:id="40"/>
      <w:r>
        <w:rPr>
          <w:rFonts w:ascii="Times New Roman" w:eastAsia="SimHei"/>
          <w:b/>
          <w:bCs/>
          <w:color w:val="16384F"/>
          <w:sz w:val="30"/>
          <w:szCs w:val="30"/>
        </w:rPr>
        <w:t xml:space="preserve">8.2 Confidentialité : traitement strictement local</w:t>
      </w:r>
      <w:bookmarkEnd w:id="40"/>
    </w:p>
    <w:p>
      <w:pPr>
        <w:spacing w:after="120" w:line="312"/>
        <w:jc w:val="both"/>
      </w:pPr>
      <w:r>
        <w:rPr>
          <w:rFonts w:ascii="Times New Roman" w:eastAsia="SimSun"/>
          <w:color w:val="000000"/>
          <w:sz w:val="24"/>
          <w:szCs w:val="24"/>
        </w:rPr>
        <w:t xml:space="preserve">NettOS traite des données parmi les plus sensibles de la machine d'un utilisateur — la cartographie de son disque — et en tire une règle simple : tout est local. Aucune télémétrie, aucun envoi réseau du contenu des analyses, aucun compte utilisateur, aucun service distant. La déclaration de confidentialité est visible dès la première version et énonce cette politique en termes directs : le logiciel n'a pas de canal sortant, et le seul export de données est celui que l'utilisateur déclenche lui-même.</w:t>
      </w:r>
    </w:p>
    <w:p>
      <w:pPr>
        <w:spacing w:after="120" w:line="312"/>
        <w:jc w:val="both"/>
      </w:pPr>
      <w:r>
        <w:rPr>
          <w:rFonts w:ascii="Times New Roman" w:eastAsia="SimSun"/>
          <w:color w:val="000000"/>
          <w:sz w:val="24"/>
          <w:szCs w:val="24"/>
        </w:rPr>
        <w:t xml:space="preserve">Cette exigence rejoint celle posée dès la version 1.0 pour l'intelligence artificielle : aucune fonctionnalité nécessitant un service distant n'entre dans le produit. Elle renforce la position du logiciel auprès de son public cible : un outil qui affirme la transparence doit l'incarner jusque dans ses flux réseau — ou plutôt dans leur absence.</w:t>
      </w:r>
    </w:p>
    <w:p>
      <w:pPr>
        <w:pStyle w:val="Heading2"/>
        <w:keepNext/>
        <w:spacing w:after="120" w:before="240" w:line="312"/>
        <w:jc w:val="left"/>
      </w:pPr>
      <w:bookmarkStart w:name="_Toc41" w:id="41"/>
      <w:r>
        <w:rPr>
          <w:rFonts w:ascii="Times New Roman" w:eastAsia="SimHei"/>
          <w:b/>
          <w:bCs/>
          <w:color w:val="16384F"/>
          <w:sz w:val="30"/>
          <w:szCs w:val="30"/>
        </w:rPr>
        <w:t xml:space="preserve">8.3 Internationalisation dès la première version</w:t>
      </w:r>
      <w:bookmarkEnd w:id="41"/>
    </w:p>
    <w:p>
      <w:pPr>
        <w:spacing w:after="120" w:line="312"/>
        <w:jc w:val="both"/>
      </w:pPr>
      <w:r>
        <w:rPr>
          <w:rFonts w:ascii="Times New Roman" w:eastAsia="SimSun"/>
          <w:color w:val="000000"/>
          <w:sz w:val="24"/>
          <w:szCs w:val="24"/>
        </w:rPr>
        <w:t xml:space="preserve">Tous les libellés de l'interface passent par le mécanisme de traduction de Qt dès le premier fichier d'interface écrit, avec les fichiers de traduction hébergés dans le dépôt. Le français et l'anglais sont livrés au lancement public. Le coût marginal de cette discipline est quasi nul lorsqu'elle est appliquée dès le départ, alors qu'un retrofit sur une interface existante est long et sujet aux oublis.</w:t>
      </w:r>
    </w:p>
    <w:p>
      <w:pPr>
        <w:spacing w:after="120" w:line="312"/>
        <w:jc w:val="both"/>
      </w:pPr>
      <w:r>
        <w:rPr>
          <w:rFonts w:ascii="Times New Roman" w:eastAsia="SimSun"/>
          <w:color w:val="000000"/>
          <w:sz w:val="24"/>
          <w:szCs w:val="24"/>
        </w:rPr>
        <w:t xml:space="preserve">L'internationalisation couvre aussi les formats : dates, nombres et tailles localisés, avec une attention particulière aux unités de stockage (Ko, Mo, Go décimaux ou KiB, MiB, GiB binaires) dont l'affichage cohérent conditionne la lisibilité des rapports. Ce choix technique précoce élargit la base d'utilisateurs potentiels sans replanification.</w:t>
      </w:r>
    </w:p>
    <w:p>
      <w:pPr>
        <w:pStyle w:val="Heading1"/>
        <w:keepNext/>
        <w:spacing w:after="160" w:before="360" w:line="312"/>
        <w:jc w:val="center"/>
      </w:pPr>
      <w:bookmarkStart w:name="_Toc42" w:id="42"/>
      <w:r>
        <w:rPr>
          <w:rFonts w:ascii="Times New Roman" w:eastAsia="SimHei"/>
          <w:b/>
          <w:bCs/>
          <w:color w:val="16384F"/>
          <w:sz w:val="32"/>
          <w:szCs w:val="32"/>
        </w:rPr>
        <w:t xml:space="preserve">9. Plan de développement sur douze semaines</w:t>
      </w:r>
      <w:bookmarkEnd w:id="42"/>
    </w:p>
    <w:p>
      <w:pPr>
        <w:spacing w:after="120" w:line="312"/>
        <w:jc w:val="both"/>
      </w:pPr>
      <w:r>
        <w:rPr>
          <w:rFonts w:ascii="Times New Roman" w:eastAsia="SimSun"/>
          <w:color w:val="000000"/>
          <w:sz w:val="24"/>
          <w:szCs w:val="24"/>
        </w:rPr>
        <w:t xml:space="preserve">Le travail s'organise en six phases de deux semaines, au rythme indicatif d'une à deux heures par jour pour un développeur seul. Chaque phase produit un livrable démontrable accompagné de tests ; l'intégration continue Linux et Windows est en place dès la première phase. Ce calendrier succède aux six semaines du cadrage initial, jugées trop serrées une fois pris en compte le packaging, la quarantaine et les tests Windows réels — qui s'ajoutent aux exécutions en intégration continue et requièrent un environnement dédié.</w:t>
      </w:r>
    </w:p>
    <w:p>
      <w:pPr>
        <w:keepNext/>
        <w:spacing w:after="100" w:before="240" w:line="312"/>
        <w:jc w:val="left"/>
      </w:pPr>
      <w:r>
        <w:rPr>
          <w:rFonts w:ascii="Times New Roman" w:eastAsia="SimSun"/>
          <w:b/>
          <w:bCs/>
          <w:color w:val="16384F"/>
          <w:sz w:val="21"/>
          <w:szCs w:val="21"/>
        </w:rPr>
        <w:t xml:space="preserve">Tableau 6 — Phases de développement et livrables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791"/>
        <w:gridCol w:w="967"/>
        <w:gridCol w:w="4130"/>
        <w:gridCol w:w="2900"/>
      </w:tblGrid>
      <w:tr>
        <w:trPr>
          <w:cantSplit/>
          <w:tblHeader/>
        </w:trPr>
        <w:tc>
          <w:tcPr>
            <w:tcW w:type="pct" w:w="4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Phase</w:t>
            </w:r>
          </w:p>
        </w:tc>
        <w:tc>
          <w:tcPr>
            <w:tcW w:type="pct" w:w="5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Semaines</w:t>
            </w:r>
          </w:p>
        </w:tc>
        <w:tc>
          <w:tcPr>
            <w:tcW w:type="pct" w:w="23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Contenu principal</w:t>
            </w:r>
          </w:p>
        </w:tc>
        <w:tc>
          <w:tcPr>
            <w:tcW w:type="pct" w:w="165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Livrable démontrable</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 à 2</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Initialisation du dépôt et du projet Python ; pyproject, Ruff, pytest ; modèles de résultats et interfaces d'adaptateurs ; application Qt minimale ; intégration continue Linux et Windows ; squelette d'internationalisation</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Application qui démarre sur les deux systèmes, architecture documentée, intégration continue verte</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 à 4</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Moteur de diagnostic en lecture seule : volumes, parcours de répertoires, calcul de tailles, gestion des permissions refusées et des fichiers disparus, progression et annulation ; première version de la ligne de commande</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Scanner utilisable sans interface, commande nettos scan --json, données de stockage fiables</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3</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 à 6</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Contrat BaseCleaner ; registre explicite de règles ; première règle utilisateur sur cibles de test ; risques, exclusions et estimations ; versionnage des règles</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Système extensible qui explique pourquoi chaque élément est proposé au nettoyage</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7 à 8</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Simulation et confirmation explicite ; revalidation des cibles ; gestion des liens symboliques, des erreurs et des changements de fichiers ; quarantaine minimale ; journalisation et mesure de l'espace réellement récupéré</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Premier nettoyage contrôlé sur fichiers de test, sans opération privilégiée</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 à 10</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Tableau de bord ; catégories, tailles, risques et recommandations ; filtres, détails et rapport avant/après ; persistance de l'historique dans SQLite ; traductions française et anglaise</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Première expérience utilisateur complète</w:t>
            </w:r>
          </w:p>
        </w:tc>
      </w:tr>
      <w:tr>
        <w:trPr>
          <w:cantSplit/>
        </w:trPr>
        <w:tc>
          <w:tcPr>
            <w:tcW w:type="pct" w:w="4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6</w:t>
            </w:r>
          </w:p>
        </w:tc>
        <w:tc>
          <w:tcPr>
            <w:tcW w:type="pct" w:w="5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11 à 12</w:t>
            </w:r>
          </w:p>
        </w:tc>
        <w:tc>
          <w:tcPr>
            <w:tcW w:type="pct" w:w="23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Chemins et règles propres à Windows et Linux ; tests des erreurs de permissions et des interruptions ; règles système spécifiques et sûres ; packaging (PyInstaller, AppImage) ; documentation d'installation et limites connues</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Version alpha distribuable avec liste claire des fonctions prises en charge</w:t>
            </w:r>
          </w:p>
        </w:tc>
      </w:tr>
    </w:tbl>
    <w:p>
      <w:pPr>
        <w:spacing w:after="120" w:line="312"/>
        <w:jc w:val="both"/>
      </w:pPr>
      <w:r>
        <w:rPr>
          <w:rFonts w:ascii="Times New Roman" w:eastAsia="SimSun"/>
          <w:color w:val="000000"/>
          <w:sz w:val="24"/>
          <w:szCs w:val="24"/>
        </w:rPr>
        <w:t xml:space="preserve">La marge intégrée dans chaque phase absorbe les imprévus. Si une phase dérape, c'est le périmètre qui se réduit, jamais la qualité : les exigences de sécurité ne sont pas négociables, et une alpha qui respecterait le calendrier en rognant la simulation ou la revalidation serait un échec masqué. La prise en charge sûre de Windows et la création des paquets demeurent, comme dans la version 1.0, les postes les plus susceptibles de demander du temps supplémentaire.</w:t>
      </w:r>
    </w:p>
    <w:p>
      <w:pPr>
        <w:pStyle w:val="Heading1"/>
        <w:keepNext/>
        <w:spacing w:after="160" w:before="360" w:line="312"/>
        <w:jc w:val="center"/>
      </w:pPr>
      <w:bookmarkStart w:name="_Toc43" w:id="43"/>
      <w:r>
        <w:rPr>
          <w:rFonts w:ascii="Times New Roman" w:eastAsia="SimHei"/>
          <w:b/>
          <w:bCs/>
          <w:color w:val="16384F"/>
          <w:sz w:val="32"/>
          <w:szCs w:val="32"/>
        </w:rPr>
        <w:t xml:space="preserve">10. Critères d'acceptation du MVP</w:t>
      </w:r>
      <w:bookmarkEnd w:id="43"/>
    </w:p>
    <w:p>
      <w:pPr>
        <w:pStyle w:val="Heading2"/>
        <w:keepNext/>
        <w:spacing w:after="120" w:before="240" w:line="312"/>
        <w:jc w:val="left"/>
      </w:pPr>
      <w:bookmarkStart w:name="_Toc44" w:id="44"/>
      <w:r>
        <w:rPr>
          <w:rFonts w:ascii="Times New Roman" w:eastAsia="SimHei"/>
          <w:b/>
          <w:bCs/>
          <w:color w:val="16384F"/>
          <w:sz w:val="30"/>
          <w:szCs w:val="30"/>
        </w:rPr>
        <w:t xml:space="preserve">10.1 Critères fonctionnels et de sécurité</w:t>
      </w:r>
      <w:bookmarkEnd w:id="44"/>
    </w:p>
    <w:p>
      <w:pPr>
        <w:spacing w:after="120" w:line="312"/>
        <w:jc w:val="both"/>
      </w:pPr>
      <w:r>
        <w:rPr>
          <w:rFonts w:ascii="Times New Roman" w:eastAsia="SimSun"/>
          <w:color w:val="000000"/>
          <w:sz w:val="24"/>
          <w:szCs w:val="24"/>
        </w:rPr>
        <w:t xml:space="preserve">La version alpha n'est pas considérée comme prête simplement parce que l'interface est terminée. Le tableau suivant fixe les conditions de validation vérifiables, critère par critère.</w:t>
      </w:r>
    </w:p>
    <w:p>
      <w:pPr>
        <w:keepNext/>
        <w:spacing w:after="100" w:before="240" w:line="312"/>
        <w:jc w:val="left"/>
      </w:pPr>
      <w:r>
        <w:rPr>
          <w:rFonts w:ascii="Times New Roman" w:eastAsia="SimSun"/>
          <w:b/>
          <w:bCs/>
          <w:color w:val="16384F"/>
          <w:sz w:val="21"/>
          <w:szCs w:val="21"/>
        </w:rPr>
        <w:t xml:space="preserve">Tableau 7 — Critères d'acceptation du MVP</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285"/>
        <w:gridCol w:w="6503"/>
      </w:tblGrid>
      <w:tr>
        <w:trPr>
          <w:cantSplit/>
          <w:tblHeader/>
        </w:trPr>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Critère</w:t>
            </w:r>
          </w:p>
        </w:tc>
        <w:tc>
          <w:tcPr>
            <w:tcW w:type="pct" w:w="37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Condition de validation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Démarrage</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L'application s'ouvre sur Linux et Windows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Diagnostic</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tailles des fichiers de test sont calculées correctement</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Erreurs</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accès refusés et fichiers disparus ne provoquent pas de crash</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Simulation</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Aucune simulation ne supprime ni ne modifie un fichier</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Sécurité</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chemins hors cible et liens non autorisés sont rejetés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Nettoyage</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Seules les cibles autorisées et confirmées sont traitées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Résultats</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erreurs et les quantités effectivement traitées sont consignées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Interface</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analyses longues ne bloquent pas la fenêtre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Tests</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Les tests unitaires et d'intégration passent sur Linux et Windows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Documentation</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Installation, limites, risques et procédures de contribution sont documentés</w:t>
            </w:r>
          </w:p>
        </w:tc>
      </w:tr>
    </w:tbl>
    <w:p>
      <w:pPr>
        <w:pStyle w:val="Heading2"/>
        <w:keepNext/>
        <w:spacing w:after="120" w:before="240" w:line="312"/>
        <w:jc w:val="left"/>
      </w:pPr>
      <w:bookmarkStart w:name="_Toc45" w:id="45"/>
      <w:r>
        <w:rPr>
          <w:rFonts w:ascii="Times New Roman" w:eastAsia="SimHei"/>
          <w:b/>
          <w:bCs/>
          <w:color w:val="16384F"/>
          <w:sz w:val="30"/>
          <w:szCs w:val="30"/>
        </w:rPr>
        <w:t xml:space="preserve">10.2 Campagne de tests des cas limites et critères de blocage</w:t>
      </w:r>
      <w:bookmarkEnd w:id="45"/>
    </w:p>
    <w:p>
      <w:pPr>
        <w:spacing w:after="120" w:line="312"/>
        <w:jc w:val="both"/>
      </w:pPr>
      <w:r>
        <w:rPr>
          <w:rFonts w:ascii="Times New Roman" w:eastAsia="SimSun"/>
          <w:color w:val="000000"/>
          <w:sz w:val="24"/>
          <w:szCs w:val="24"/>
        </w:rPr>
        <w:t xml:space="preserve">La validation s'appuie sur des volumes de test représentatifs : fichiers vides, fichiers volumineux, noms non ASCII, chemins très longs, liens et junctions, permissions variées, fichiers modifiés pendant le parcours. Cette campagne s'exécute sur les deux systèmes, en intégration continue pour les parties automatisables et sur matériel réel pour le reste.</w:t>
      </w:r>
    </w:p>
    <w:p>
      <w:pPr>
        <w:spacing w:after="120" w:line="312"/>
        <w:jc w:val="both"/>
      </w:pPr>
      <w:r>
        <w:rPr>
          <w:rFonts w:ascii="Times New Roman" w:eastAsia="SimSun"/>
          <w:color w:val="000000"/>
          <w:sz w:val="24"/>
          <w:szCs w:val="24"/>
        </w:rPr>
        <w:t xml:space="preserve">Trois critères de blocage s'appliquent à toute publication, sans exception : un taux de suppression hors liste d'autorisation strictement nul sur la campagne de sécurité ; un taux d'erreur masquée nul, chaque erreur rencontrée devant être comptée et signalée, jamais avalée ; et la conformité aux budgets de performance de la section 8.1, vérifiée à chaque candidat de publication. Ces critères transforment l'ambition déclarée de la version 1.0 — la pertinence des diagnostics — en conditions objectivement mesurables.</w:t>
      </w:r>
    </w:p>
    <w:p>
      <w:pPr>
        <w:pStyle w:val="Heading1"/>
        <w:keepNext/>
        <w:spacing w:after="160" w:before="360" w:line="312"/>
        <w:jc w:val="center"/>
      </w:pPr>
      <w:bookmarkStart w:name="_Toc46" w:id="46"/>
      <w:r>
        <w:rPr>
          <w:rFonts w:ascii="Times New Roman" w:eastAsia="SimHei"/>
          <w:b/>
          <w:bCs/>
          <w:color w:val="16384F"/>
          <w:sz w:val="32"/>
          <w:szCs w:val="32"/>
        </w:rPr>
        <w:t xml:space="preserve">11. Organisation du dépôt GitHub et historique de développement</w:t>
      </w:r>
      <w:bookmarkEnd w:id="46"/>
    </w:p>
    <w:p>
      <w:pPr>
        <w:spacing w:after="120" w:line="312"/>
        <w:jc w:val="both"/>
      </w:pPr>
      <w:r>
        <w:rPr>
          <w:rFonts w:ascii="Times New Roman" w:eastAsia="SimSun"/>
          <w:color w:val="000000"/>
          <w:sz w:val="24"/>
          <w:szCs w:val="24"/>
        </w:rPr>
        <w:t xml:space="preserve">Chaque contribution correspond à un résultat compréhensible ; il n'est pas nécessaire de produire un changement majeur chaque jour. Les premières issues structurent le démarrage : initialisation du projet et de l'intégration continue ; définition des modèles de diagnostic ; implémentation du scanner ; création du moteur de règles ; ajout de la simulation de nettoyage avec preuve qu'aucun fichier n'est supprimé en simulation. Des branches dédiées (feat/storage-scanner, test/path-security, fix/scan-cancellation) et des commits explicites complètent cette organisation.</w:t>
      </w:r>
    </w:p>
    <w:p>
      <w:pPr>
        <w:spacing w:after="120" w:line="312"/>
        <w:jc w:val="both"/>
      </w:pPr>
      <w:r>
        <w:rPr>
          <w:rFonts w:ascii="Times New Roman" w:eastAsia="SimSun"/>
          <w:color w:val="000000"/>
          <w:sz w:val="24"/>
          <w:szCs w:val="24"/>
        </w:rPr>
        <w:t xml:space="preserve">Une demande d'intégration présente le problème résolu, les choix techniques, les tests effectués et les limites restantes. Pour un projet solo, l'ouverture d'une demande d'intégration puis sa fusion après vérification restent recommandées, même sans revue externe : elles documentent la progression et préparent le projet à l'arrivée de contributeurs. Les enregistrements de décisions d'architecture et le journal des modifications complètent la mémoire du projet.</w:t>
      </w:r>
    </w:p>
    <w:p>
      <w:pPr>
        <w:spacing w:after="120" w:line="312"/>
        <w:jc w:val="both"/>
      </w:pPr>
      <w:r>
        <w:rPr>
          <w:rFonts w:ascii="Times New Roman" w:eastAsia="SimSun"/>
          <w:color w:val="000000"/>
          <w:sz w:val="24"/>
          <w:szCs w:val="24"/>
        </w:rPr>
        <w:t xml:space="preserve">Les carrés verts de GitHub dépendent des conditions d'éligibilité et de comptabilisation des contributions ; un commit ou une demande d'intégration ne garantit pas systématiquement un carré. Le bon objectif demeure un historique qui démontre une progression réelle, pas l'apparence de l'activité.</w:t>
      </w:r>
    </w:p>
    <w:p>
      <w:pPr>
        <w:pStyle w:val="Heading1"/>
        <w:keepNext/>
        <w:spacing w:after="160" w:before="360" w:line="312"/>
        <w:jc w:val="center"/>
      </w:pPr>
      <w:bookmarkStart w:name="_Toc47" w:id="47"/>
      <w:r>
        <w:rPr>
          <w:rFonts w:ascii="Times New Roman" w:eastAsia="SimHei"/>
          <w:b/>
          <w:bCs/>
          <w:color w:val="16384F"/>
          <w:sz w:val="32"/>
          <w:szCs w:val="32"/>
        </w:rPr>
        <w:t xml:space="preserve">12. Risques identifiés et décisions à prendre tôt</w:t>
      </w:r>
      <w:bookmarkEnd w:id="47"/>
    </w:p>
    <w:p>
      <w:pPr>
        <w:spacing w:after="120" w:line="312"/>
        <w:jc w:val="both"/>
      </w:pPr>
      <w:r>
        <w:rPr>
          <w:rFonts w:ascii="Times New Roman" w:eastAsia="SimSun"/>
          <w:color w:val="000000"/>
          <w:sz w:val="24"/>
          <w:szCs w:val="24"/>
        </w:rPr>
        <w:t xml:space="preserve">Le tableau suivant consolide les risques identifiés dans la version 1.0 et les enrichit des points mis en évidence par la révision 1.1, chacun assorti d'une mesure d'atténuation concrète.</w:t>
      </w:r>
    </w:p>
    <w:p>
      <w:pPr>
        <w:keepNext/>
        <w:spacing w:after="100" w:before="240" w:line="312"/>
        <w:jc w:val="left"/>
      </w:pPr>
      <w:r>
        <w:rPr>
          <w:rFonts w:ascii="Times New Roman" w:eastAsia="SimSun"/>
          <w:b/>
          <w:bCs/>
          <w:color w:val="16384F"/>
          <w:sz w:val="21"/>
          <w:szCs w:val="21"/>
        </w:rPr>
        <w:t xml:space="preserve">Tableau 8 — Risques et mesures d'atténuation</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582"/>
        <w:gridCol w:w="3515"/>
        <w:gridCol w:w="3691"/>
      </w:tblGrid>
      <w:tr>
        <w:trPr>
          <w:cantSplit/>
          <w:tblHeader/>
        </w:trPr>
        <w:tc>
          <w:tcPr>
            <w:tcW w:type="pct" w:w="9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Risque</w:t>
            </w:r>
          </w:p>
        </w:tc>
        <w:tc>
          <w:tcPr>
            <w:tcW w:type="pct" w:w="20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Description</w:t>
            </w:r>
          </w:p>
        </w:tc>
        <w:tc>
          <w:tcPr>
            <w:tcW w:type="pct" w:w="21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Atténuation retenue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Périmètre double OS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Deux systèmes dès la première version est ambitieux</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Moteur partagé, nombre limité de règles spécifiques, intégration continue des deux plateformes dès la phase 1</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Faux positifs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 fichier volumineux ou ancien n'est pas nécessairement inutile</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Recommandations explicables, statut « inconnu » assumé, classification par risque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Récupération d'espace</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 taille théorique ne reflète pas l'espace libéré (liens physiques, compression, fichiers ouverts)</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Mesure du résultat réel dans le pipeline, rapport mentionnant les deux chiffres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Permissions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Tout nettoyer en administrateur est dangereux</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Moindre privilège, éléments inaccessibles signalés, opérations privilégiées dédiées</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Distribution</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La compatibilité du code ne garantit pas la qualité des paquets</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Paquets testés à chaque publication, liste de support explicite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Confiance</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 logiciel de suppression doit être transparent sur ses actions et ses limites</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Journal d'audit, limites documentées, licence GPL-3.0, code auditable</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SmartScreen et antivirus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Un binaire non signé qui supprime des fichiers éveille la méfiance</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Décision anticipée : certificat de signature budgété ou publication accompagnée avec sommes de vérification</w:t>
            </w:r>
          </w:p>
        </w:tc>
      </w:tr>
      <w:tr>
        <w:trPr>
          <w:cantSplit/>
        </w:trPr>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Dérive du calendrier</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Projet solo, temps fragmenté</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Phases de deux semaines avec marge, réduction de périmètre plutôt que de qualité</w:t>
            </w:r>
          </w:p>
        </w:tc>
      </w:tr>
    </w:tbl>
    <w:p>
      <w:pPr>
        <w:spacing w:after="120" w:line="312"/>
        <w:jc w:val="both"/>
      </w:pPr>
      <w:r>
        <w:rPr>
          <w:rFonts w:ascii="Times New Roman" w:eastAsia="SimSun"/>
          <w:color w:val="000000"/>
          <w:sz w:val="24"/>
          <w:szCs w:val="24"/>
        </w:rPr>
        <w:t xml:space="preserve">Trois décisions doivent être prises tôt, chacune au titre d'un enregistrement dédié : la stratégie de signature des paquets (certificat payant contre publication accompagnée), la politique de mise à jour des règles (livraison avec l'application contre canal signé ultérieur) et le support Flatpak avec ses implications de permissions. Une quatrième décision — la lecture diagnostique éventuelle du registre Windows — reste reportée après le MVP, comme indiqué en section 2.2.</w:t>
      </w:r>
    </w:p>
    <w:p>
      <w:pPr>
        <w:pStyle w:val="Heading1"/>
        <w:keepNext/>
        <w:spacing w:after="160" w:before="360" w:line="312"/>
        <w:jc w:val="center"/>
      </w:pPr>
      <w:bookmarkStart w:name="_Toc48" w:id="48"/>
      <w:r>
        <w:rPr>
          <w:rFonts w:ascii="Times New Roman" w:eastAsia="SimHei"/>
          <w:b/>
          <w:bCs/>
          <w:color w:val="16384F"/>
          <w:sz w:val="32"/>
          <w:szCs w:val="32"/>
        </w:rPr>
        <w:t xml:space="preserve">13. Prochaine étape : le scanner en lecture seule</w:t>
      </w:r>
      <w:bookmarkEnd w:id="48"/>
    </w:p>
    <w:p>
      <w:pPr>
        <w:spacing w:after="120" w:line="312"/>
        <w:jc w:val="both"/>
      </w:pPr>
      <w:r>
        <w:rPr>
          <w:rFonts w:ascii="Times New Roman" w:eastAsia="SimSun"/>
          <w:color w:val="000000"/>
          <w:sz w:val="24"/>
          <w:szCs w:val="24"/>
        </w:rPr>
        <w:t xml:space="preserve">La première tâche à réaliser est le scanner de stockage en lecture seule : fonction utile, facile à tester dans un environnement contrôlé et fondamentale pour tous les autres modules. Le premier jalon consiste à créer le dépôt, à lancer l'application minimale et à produire un rapport contenant les volumes détectés, les tailles analysées et les erreurs éventuelles — sans supprimer quoi que ce soit.</w:t>
      </w:r>
    </w:p>
    <w:p>
      <w:pPr>
        <w:spacing w:after="120" w:line="312"/>
        <w:jc w:val="both"/>
      </w:pPr>
      <w:r>
        <w:rPr>
          <w:rFonts w:ascii="Times New Roman" w:eastAsia="SimSun"/>
          <w:color w:val="000000"/>
          <w:sz w:val="24"/>
          <w:szCs w:val="24"/>
        </w:rPr>
        <w:t xml:space="preserve">Une fois ce socle validé, le moteur de règles et le nettoyage pourront être ajoutés sans mélanger leurs responsabilités. L'ordre recommandé demeure : un moteur fiable, ses tests de sécurité et un premier diagnostic mesurable — pas une interface premium, pas un score de propreté, pas des dizaines de nettoyeurs. C'est cet ordre qui donnera à NettOS une base crédible pour dépasser un simple script de nettoyage et devenir un logiciel dont les utilisateurs peuvent réellement dépendre.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ROMAN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arabic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NettOS — Cahier des charges technique · Version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color w:val="808080"/>
        <w:sz w:val="18"/>
        <w:szCs w:val="18"/>
      </w:rPr>
      <w:t xml:space="preserve">NettOS — Cahier des charges technique · Version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84F"/>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384F"/>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6384F"/>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a0c6b8b9698d3c86b8401049d76bee5d00c50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NettOS — Cahier des charges technique v1.1</dc:title>
  <dc:creator>Projet NettOS</dc:creator>
  <dc:description>Cadrage technique du projet NettOS, version 1.1</dc:description>
  <cp:lastModifiedBy>Un-named</cp:lastModifiedBy>
  <cp:revision>1</cp:revision>
  <dcterms:created xsi:type="dcterms:W3CDTF">2026-10-24T14:34:45.506Z</dcterms:created>
  <dcterms:modified xsi:type="dcterms:W3CDTF">2026-10-24T14:34:45.507Z</dcterms:modified>
</cp:coreProperties>
</file>

<file path=docProps/custom.xml><?xml version="1.0" encoding="utf-8"?>
<Properties xmlns="http://schemas.openxmlformats.org/officeDocument/2006/custom-properties" xmlns:vt="http://schemas.openxmlformats.org/officeDocument/2006/docPropsVTypes"/>
</file>