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 Framework - Green Valley Livelihoods Programme (synthetic)</w:t>
      </w:r>
    </w:p>
    <w:p>
      <w:r>
        <w:t>This monitoring plan describes how progress of the programme is measured. Indicators are reported quarterly unless stated otherwise.</w:t>
      </w:r>
    </w:p>
    <w:p>
      <w:pPr>
        <w:pStyle w:val="Heading2"/>
      </w:pPr>
      <w:r>
        <w:t>Indicators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Level</w:t>
            </w:r>
          </w:p>
        </w:tc>
        <w:tc>
          <w:tcPr>
            <w:tcW w:type="dxa" w:w="960"/>
          </w:tcPr>
          <w:p>
            <w:r>
              <w:t>Code</w:t>
            </w:r>
          </w:p>
        </w:tc>
        <w:tc>
          <w:tcPr>
            <w:tcW w:type="dxa" w:w="960"/>
          </w:tcPr>
          <w:p>
            <w:r>
              <w:t>Result statement</w:t>
            </w:r>
          </w:p>
        </w:tc>
        <w:tc>
          <w:tcPr>
            <w:tcW w:type="dxa" w:w="960"/>
          </w:tcPr>
          <w:p>
            <w:r>
              <w:t>Indicator</w:t>
            </w:r>
          </w:p>
        </w:tc>
        <w:tc>
          <w:tcPr>
            <w:tcW w:type="dxa" w:w="960"/>
          </w:tcPr>
          <w:p>
            <w:r>
              <w:t>Unit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Target</w:t>
            </w:r>
          </w:p>
        </w:tc>
        <w:tc>
          <w:tcPr>
            <w:tcW w:type="dxa" w:w="960"/>
          </w:tcPr>
          <w:p>
            <w:r>
              <w:t>Means of verification</w:t>
            </w:r>
          </w:p>
        </w:tc>
        <w:tc>
          <w:tcPr>
            <w:tcW w:type="dxa" w:w="960"/>
          </w:tcPr>
          <w:p>
            <w:r>
              <w:t>Frequency</w:t>
            </w:r>
          </w:p>
        </w:tc>
      </w:tr>
      <w:tr>
        <w:tc>
          <w:tcPr>
            <w:tcW w:type="dxa" w:w="960"/>
          </w:tcPr>
          <w:p>
            <w:r>
              <w:t>Impact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Household incomes in the valley increased</w:t>
            </w:r>
          </w:p>
        </w:tc>
        <w:tc>
          <w:tcPr>
            <w:tcW w:type="dxa" w:w="960"/>
          </w:tcPr>
          <w:p>
            <w:r>
              <w:t>Average monthly household income</w:t>
            </w:r>
          </w:p>
        </w:tc>
        <w:tc>
          <w:tcPr>
            <w:tcW w:type="dxa" w:w="960"/>
          </w:tcPr>
          <w:p>
            <w:r>
              <w:t>JOD</w:t>
            </w:r>
          </w:p>
        </w:tc>
        <w:tc>
          <w:tcPr>
            <w:tcW w:type="dxa" w:w="960"/>
          </w:tcPr>
          <w:p>
            <w:r>
              <w:t>310</w:t>
            </w:r>
          </w:p>
        </w:tc>
        <w:tc>
          <w:tcPr>
            <w:tcW w:type="dxa" w:w="960"/>
          </w:tcPr>
          <w:p>
            <w:r>
              <w:t>400</w:t>
            </w:r>
          </w:p>
        </w:tc>
        <w:tc>
          <w:tcPr>
            <w:tcW w:type="dxa" w:w="960"/>
          </w:tcPr>
          <w:p>
            <w:r>
              <w:t>Household survey</w:t>
            </w:r>
          </w:p>
        </w:tc>
        <w:tc>
          <w:tcPr>
            <w:tcW w:type="dxa" w:w="960"/>
          </w:tcPr>
          <w:p>
            <w:r>
              <w:t>Annual</w:t>
            </w:r>
          </w:p>
        </w:tc>
      </w:tr>
      <w:tr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Women's participation in agri-food production increased</w:t>
            </w:r>
          </w:p>
        </w:tc>
        <w:tc>
          <w:tcPr>
            <w:tcW w:type="dxa" w:w="960"/>
          </w:tcPr>
          <w:p>
            <w:r>
              <w:t>Number of women completing agri-food training</w:t>
            </w:r>
          </w:p>
        </w:tc>
        <w:tc>
          <w:tcPr>
            <w:tcW w:type="dxa" w:w="960"/>
          </w:tcPr>
          <w:p>
            <w:r>
              <w:t>people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400</w:t>
            </w:r>
          </w:p>
        </w:tc>
        <w:tc>
          <w:tcPr>
            <w:tcW w:type="dxa" w:w="960"/>
          </w:tcPr>
          <w:p>
            <w:r>
              <w:t>Training attendance records</w:t>
            </w:r>
          </w:p>
        </w:tc>
        <w:tc>
          <w:tcPr>
            <w:tcW w:type="dxa" w:w="960"/>
          </w:tcPr>
          <w:p>
            <w:r>
              <w:t>Quarterly</w:t>
            </w:r>
          </w:p>
        </w:tc>
      </w:tr>
      <w:tr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Women's participation in agri-food production increased</w:t>
            </w:r>
          </w:p>
        </w:tc>
        <w:tc>
          <w:tcPr>
            <w:tcW w:type="dxa" w:w="960"/>
          </w:tcPr>
          <w:p>
            <w:r>
              <w:t>% of trained women applying new practices</w:t>
            </w:r>
          </w:p>
        </w:tc>
        <w:tc>
          <w:tcPr>
            <w:tcW w:type="dxa" w:w="960"/>
          </w:tcPr>
          <w:p>
            <w:r>
              <w:t>%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Follow-up survey</w:t>
            </w:r>
          </w:p>
        </w:tc>
        <w:tc>
          <w:tcPr>
            <w:tcW w:type="dxa" w:w="960"/>
          </w:tcPr>
          <w:p>
            <w:r>
              <w:t>Semiannual</w:t>
            </w:r>
          </w:p>
        </w:tc>
      </w:tr>
      <w:tr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1.1</w:t>
            </w:r>
          </w:p>
        </w:tc>
        <w:tc>
          <w:tcPr>
            <w:tcW w:type="dxa" w:w="960"/>
          </w:tcPr>
          <w:p>
            <w:r>
              <w:t>Training courses delivered</w:t>
            </w:r>
          </w:p>
        </w:tc>
        <w:tc>
          <w:tcPr>
            <w:tcW w:type="dxa" w:w="960"/>
          </w:tcPr>
          <w:p>
            <w:r>
              <w:t>Number of training sessions held</w:t>
            </w:r>
          </w:p>
        </w:tc>
        <w:tc>
          <w:tcPr>
            <w:tcW w:type="dxa" w:w="960"/>
          </w:tcPr>
          <w:p>
            <w:r>
              <w:t>sessions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Session reports</w:t>
            </w:r>
          </w:p>
        </w:tc>
        <w:tc>
          <w:tcPr>
            <w:tcW w:type="dxa" w:w="960"/>
          </w:tcPr>
          <w:p>
            <w:r>
              <w:t>Quarterly</w:t>
            </w:r>
          </w:p>
        </w:tc>
      </w:tr>
      <w:tr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1.2</w:t>
            </w:r>
          </w:p>
        </w:tc>
        <w:tc>
          <w:tcPr>
            <w:tcW w:type="dxa" w:w="960"/>
          </w:tcPr>
          <w:p>
            <w:r>
              <w:t>Start-up kits distributed</w:t>
            </w:r>
          </w:p>
        </w:tc>
        <w:tc>
          <w:tcPr>
            <w:tcW w:type="dxa" w:w="960"/>
          </w:tcPr>
          <w:p>
            <w:r>
              <w:t>Number of start-up kits distributed</w:t>
            </w:r>
          </w:p>
        </w:tc>
        <w:tc>
          <w:tcPr>
            <w:tcW w:type="dxa" w:w="960"/>
          </w:tcPr>
          <w:p>
            <w:r>
              <w:t>kits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250</w:t>
            </w:r>
          </w:p>
        </w:tc>
        <w:tc>
          <w:tcPr>
            <w:tcW w:type="dxa" w:w="960"/>
          </w:tcPr>
          <w:p>
            <w:r>
              <w:t>Distribution lists</w:t>
            </w:r>
          </w:p>
        </w:tc>
        <w:tc>
          <w:tcPr>
            <w:tcW w:type="dxa" w:w="960"/>
          </w:tcPr>
          <w:p>
            <w:r>
              <w:t>Quarterly</w:t>
            </w:r>
          </w:p>
        </w:tc>
      </w:tr>
      <w:tr>
        <w:tc>
          <w:tcPr>
            <w:tcW w:type="dxa" w:w="960"/>
          </w:tcPr>
          <w:p>
            <w:r>
              <w:t>Outcome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Market access for small producers improved</w:t>
            </w:r>
          </w:p>
        </w:tc>
        <w:tc>
          <w:tcPr>
            <w:tcW w:type="dxa" w:w="960"/>
          </w:tcPr>
          <w:p>
            <w:r>
              <w:t>Total sales through cooperative markets</w:t>
            </w:r>
          </w:p>
        </w:tc>
        <w:tc>
          <w:tcPr>
            <w:tcW w:type="dxa" w:w="960"/>
          </w:tcPr>
          <w:p>
            <w:r>
              <w:t>JOD</w:t>
            </w:r>
          </w:p>
        </w:tc>
        <w:tc>
          <w:tcPr>
            <w:tcW w:type="dxa" w:w="960"/>
          </w:tcPr>
          <w:p>
            <w:r>
              <w:t>12000</w:t>
            </w:r>
          </w:p>
        </w:tc>
        <w:tc>
          <w:tcPr>
            <w:tcW w:type="dxa" w:w="960"/>
          </w:tcPr>
          <w:p>
            <w:r>
              <w:t>50000</w:t>
            </w:r>
          </w:p>
        </w:tc>
        <w:tc>
          <w:tcPr>
            <w:tcW w:type="dxa" w:w="960"/>
          </w:tcPr>
          <w:p>
            <w:r>
              <w:t>Market sales records</w:t>
            </w:r>
          </w:p>
        </w:tc>
        <w:tc>
          <w:tcPr>
            <w:tcW w:type="dxa" w:w="960"/>
          </w:tcPr>
          <w:p>
            <w:r>
              <w:t>Quarterly</w:t>
            </w:r>
          </w:p>
        </w:tc>
      </w:tr>
      <w:tr>
        <w:tc>
          <w:tcPr>
            <w:tcW w:type="dxa" w:w="960"/>
          </w:tcPr>
          <w:p>
            <w:r>
              <w:t>Output</w:t>
            </w:r>
          </w:p>
        </w:tc>
        <w:tc>
          <w:tcPr>
            <w:tcW w:type="dxa" w:w="960"/>
          </w:tcPr>
          <w:p>
            <w:r>
              <w:t>2.1</w:t>
            </w:r>
          </w:p>
        </w:tc>
        <w:tc>
          <w:tcPr>
            <w:tcW w:type="dxa" w:w="960"/>
          </w:tcPr>
          <w:p>
            <w:r>
              <w:t>Cooperative market platform launched</w:t>
            </w:r>
          </w:p>
        </w:tc>
        <w:tc>
          <w:tcPr>
            <w:tcW w:type="dxa" w:w="960"/>
          </w:tcPr>
          <w:p>
            <w:r>
              <w:t>Market platform operational</w:t>
            </w:r>
          </w:p>
        </w:tc>
        <w:tc>
          <w:tcPr>
            <w:tcW w:type="dxa" w:w="960"/>
          </w:tcPr>
          <w:p>
            <w:r>
              <w:t>milestone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Project reports</w:t>
            </w:r>
          </w:p>
        </w:tc>
        <w:tc>
          <w:tcPr>
            <w:tcW w:type="dxa" w:w="960"/>
          </w:tcPr>
          <w:p>
            <w:r>
              <w:t>Once</w:t>
            </w:r>
          </w:p>
        </w:tc>
      </w:tr>
    </w:tbl>
    <w:p>
      <w:pPr>
        <w:pStyle w:val="Heading2"/>
      </w:pPr>
      <w:r>
        <w:t>Assumptions</w:t>
      </w:r>
    </w:p>
    <w:p>
      <w:pPr>
        <w:pStyle w:val="ListBullet"/>
      </w:pPr>
      <w:r>
        <w:t>Security situation remains stable</w:t>
      </w:r>
    </w:p>
    <w:p>
      <w:pPr>
        <w:pStyle w:val="ListBullet"/>
      </w:pPr>
      <w:r>
        <w:t>Municipal partners keep co-funding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