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Statistical Induction, Causal Criticism, and the Deceleration of Scientific Progress</w:t>
      </w:r>
    </w:p>
    <w:p>
      <w:pPr>
        <w:pStyle w:val="Heading2"/>
      </w:pPr>
      <w:r>
        <w:t xml:space="preserve">1. Core thesis</w:t>
      </w:r>
    </w:p>
    <w:p>
      <w:pPr>
        <w:pStyle w:val="BodyText"/>
      </w:pPr>
      <w:r>
        <w:t xml:space="preserve">Modern science increasingly rewards the discovery of statistical regularities: significant associations, predictive models, reproducible pipelines, high-dimensional patterns, and data-driven classifications. These achievements are valuable, but they are not identical to scientific progress.</w:t>
      </w:r>
    </w:p>
    <w:p>
      <w:pPr>
        <w:pStyle w:val="BodyText"/>
      </w:pPr>
      <w:r>
        <w:t>I use scientific progress to mean the institutional improvement of our understanding of the world. This does not exclude tools, predictions, datasets, methods, or applications from progress; many are genuine contributions. The deceleration claim concerns a central form of progress: the conversion of findings into durable causal abstractions that explain why they hold, where they transport, and how they can fail.</w:t>
      </w:r>
    </w:p>
    <w:p>
      <w:pPr>
        <w:pStyle w:val="BodyText"/>
      </w:pPr>
      <w:r>
        <w:t xml:space="preserve">The proposed thesis is:</w:t>
      </w:r>
    </w:p>
    <w:p>
      <w:pPr>
        <w:pStyle w:val="BodyText"/>
        <w:spacing w:after="80" w:before="80"/>
        <w:ind w:left="720"/>
      </w:pPr>
      <w:r>
        <w:t>The deceleration of scientific progress is partly explained by the increasing dominance of the statistical-inductivist paradigm over the causal-Popperian paradigm. As scientific institutions reward statistical-discovery outputs more than causal abstraction and severe criticism, fields generate more research outputs without proportionally generating durable explanatory understanding.</w:t>
      </w:r>
    </w:p>
    <w:p>
      <w:pPr>
        <w:pStyle w:val="BodyText"/>
      </w:pPr>
      <w:r>
        <w:t xml:space="preserve">This is not an anti-statistical argument. Statistical methods are indispensable. The claim is that statistical success becomes epistemically fragile when it is treated as discovery before being anchored in causal structure.</w:t>
      </w:r>
    </w:p>
    <w:p>
      <w:pPr>
        <w:pStyle w:val="BodyText"/>
      </w:pPr>
      <w:r>
        <w:t xml:space="preserve">A compact formulation is:</w:t>
      </w:r>
    </w:p>
    <w:p>
      <w:pPr>
        <w:pStyle w:val="BodyText"/>
        <w:spacing w:after="80" w:before="80"/>
        <w:ind w:left="720"/>
      </w:pPr>
      <w:r>
        <w:t>Science decelerates when it becomes better at producing certified regularities than at building refutable causal abstractions.</w:t>
      </w:r>
    </w:p>
    <w:p>
      <w:pPr>
        <w:pStyle w:val="BodyText"/>
      </w:pPr>
      <w:r>
        <w:t xml:space="preserve">This thesis is compact, but it bundles three claims that are logically separable and that require different kinds of support. The next section pulls them apart, because the rest of the paper — and especially its empirical program — depends on keeping them distinct.</w:t>
      </w:r>
    </w:p>
    <w:p>
      <w:pPr>
        <w:pStyle w:val="Heading2"/>
      </w:pPr>
      <w:r>
        <w:t xml:space="preserve">2. Three claims the thesis makes</w:t>
      </w:r>
    </w:p>
    <w:p>
      <w:pPr>
        <w:pStyle w:val="BodyText"/>
      </w:pPr>
      <w:r>
        <w:t xml:space="preserve">The thesis above runs together three claims that can be true or false independently. They operate at different levels, they demand different evidence, and conflating them is the most common way the argument goes wrong.</w:t>
      </w:r>
    </w:p>
    <w:p>
      <w:pPr>
        <w:pStyle w:val="Heading3"/>
      </w:pPr>
      <w:r>
        <w:t xml:space="preserve">2.1 The constitutive claim</w:t>
      </w:r>
    </w:p>
    <w:p>
      <w:pPr>
        <w:pStyle w:val="BodyText"/>
      </w:pPr>
      <w:r>
        <w:t>The constitutive claim is about explanatory scientific progress: durable improvement in understanding occurs when regularities are converted into causal abstractions that survive severe criticism. This is a philosophical definition of the kind of progress the paper studies, not a claim that tools, datasets, predictions, methods, or applications lack scientific value. Its role is to make the other two claims sayable in the first place.</w:t>
      </w:r>
    </w:p>
    <w:p>
      <w:pPr>
        <w:pStyle w:val="Heading3"/>
      </w:pPr>
      <w:r>
        <w:t xml:space="preserve">2.2 The predictive claim</w:t>
      </w:r>
    </w:p>
    <w:p>
      <w:pPr>
        <w:pStyle w:val="BodyText"/>
      </w:pPr>
      <w:r>
        <w:t xml:space="preserve">Causal-abstraction commitment, measured at the level of a scientific contribution, predicts durable scientific uptake: transport to new settings, mechanistic and intervention follow-on, and integration into the explanatory core of a field. This claim is empirical and operates at the level of individual works. It is tested by measuring abstraction commitment at publication and observing uptake later.</w:t>
      </w:r>
    </w:p>
    <w:p>
      <w:pPr>
        <w:pStyle w:val="Heading3"/>
      </w:pPr>
      <w:r>
        <w:t xml:space="preserve">2.3 The temporal claim</w:t>
      </w:r>
    </w:p>
    <w:p>
      <w:pPr>
        <w:pStyle w:val="BodyText"/>
      </w:pPr>
      <w:r>
        <w:t xml:space="preserve">This is the claim the title actually makes. As scientific institutions increasingly reward statistical-discovery outputs over causal-abstraction outputs, the rate at which regularities are converted into durable abstractions falls, so apparent output rises while durable explanatory structure per unit of output declines. This claim is empirical and operates at the level of populations and time, not individual papers.</w:t>
      </w:r>
    </w:p>
    <w:p>
      <w:pPr>
        <w:pStyle w:val="Heading3"/>
      </w:pPr>
      <w:r>
        <w:t xml:space="preserve">2.4 Why the distinction matters</w:t>
      </w:r>
    </w:p>
    <w:p>
      <w:pPr>
        <w:pStyle w:val="BodyText"/>
      </w:pPr>
      <w:r>
        <w:t xml:space="preserve">The three claims come apart. One can accept the constitutive definition, confirm the predictive claim in full, and still have shown nothing about deceleration — because deceleration is a statement about a changing rate in a population over time, whereas the predictive claim is a statement about a virtue of individual works at a fixed time. Most natural ways of operationalizing the thesis end up testing the predictive claim. The title promises the temporal claim. The empirical program in this paper is therefore organized to keep the two apart and to test the temporal claim directly rather than inferring it from the predictive one.</w:t>
      </w:r>
    </w:p>
    <w:p>
      <w:pPr>
        <w:pStyle w:val="BodyText"/>
      </w:pPr>
      <w:r>
        <w:t xml:space="preserve">A unit-of-analysis caveat follows immediately. The predictive claim is about works; the temporal claim is about the literature. A single regularity-reporting paper can be correctly recognized as progress because a later, different paper converted its regularity into an abstraction. Progress can therefore be distributed across a lineage rather than concentrated in any one paper. This is not a defect in the theory; it is a constraint on measurement, and it shapes both the hypotheses and the corpus design below.</w:t>
      </w:r>
    </w:p>
    <w:p>
      <w:pPr>
        <w:pStyle w:val="Heading2"/>
      </w:pPr>
      <w:r>
        <w:t xml:space="preserve">3. The two rival paradigms</w:t>
      </w:r>
    </w:p>
    <w:p>
      <w:pPr>
        <w:pStyle w:val="Heading3"/>
      </w:pPr>
      <w:r>
        <w:t xml:space="preserve">3.1 The statistical-inductivist paradigm</w:t>
      </w:r>
    </w:p>
    <w:p>
      <w:pPr>
        <w:pStyle w:val="BodyText"/>
      </w:pPr>
      <w:r>
        <w:t xml:space="preserve">The statistical-inductivist paradigm treats knowledge growth as disciplined learning from observations. It asks:</w:t>
      </w:r>
    </w:p>
    <w:p>
      <w:pPr>
        <w:pStyle w:val="BodyText"/>
        <w:spacing w:after="80" w:before="80"/>
        <w:ind w:left="720"/>
      </w:pPr>
      <w:r>
        <w:rPr>
          <w:i/>
          <w:iCs/>
        </w:rPr>
        <w:t xml:space="preserve">Given observed data, how should we estimate, predict, update beliefs, control error, or generalize?</w:t>
      </w:r>
    </w:p>
    <w:p>
      <w:pPr>
        <w:pStyle w:val="BodyText"/>
      </w:pPr>
      <w:r>
        <w:t xml:space="preserve">Frequentist and Bayesian approaches differ, but both usually operate within this broader paradigm. Frequentist methods emphasize procedures with good long-run error properties. Bayesian methods emphasize updating from prior to posterior belief. Modern prediction-centered science emphasizes out-of-sample performance, calibration, and generalization.</w:t>
      </w:r>
    </w:p>
    <w:p>
      <w:pPr>
        <w:pStyle w:val="BodyText"/>
      </w:pPr>
      <w:r>
        <w:t xml:space="preserve">The central movement is:</w:t>
      </w:r>
    </w:p>
    <w:p>
      <w:pPr>
        <w:pStyle w:val="BodyText"/>
        <w:spacing w:after="80" w:before="80"/>
        <w:ind w:left="720"/>
      </w:pPr>
      <w:r>
        <w:rPr>
          <w:i/>
          <w:iCs/>
        </w:rPr>
        <w:t xml:space="preserve">data → regularity → statistical certification → prediction or inference → accumulated knowledge.</w:t>
      </w:r>
    </w:p>
    <w:p>
      <w:pPr>
        <w:pStyle w:val="BodyText"/>
      </w:pPr>
      <w:r>
        <w:t xml:space="preserve">This paradigm has major strengths. It is portable, teachable, auditable, and computationally scalable. It works especially well when mechanisms are unknown, data are noisy, and direct causal intervention is difficult. It allowed twentieth-century science to discipline fields such as agriculture, psychology, medicine, epidemiology, economics, genetics, and molecular biology.</w:t>
      </w:r>
    </w:p>
    <w:p>
      <w:pPr>
        <w:pStyle w:val="BodyText"/>
      </w:pPr>
      <w:r>
        <w:t xml:space="preserve">Its weakness is that it can mistake a local regularity for a scientific explanation. A statistically significant association, a predictive model, or a reproducible computational pipeline may describe a pattern without identifying the causal structure that generates it.</w:t>
      </w:r>
    </w:p>
    <w:p>
      <w:pPr>
        <w:pStyle w:val="Heading3"/>
      </w:pPr>
      <w:r>
        <w:t xml:space="preserve">3.2 The causal-Popperian paradigm</w:t>
      </w:r>
    </w:p>
    <w:p>
      <w:pPr>
        <w:pStyle w:val="BodyText"/>
      </w:pPr>
      <w:r>
        <w:t xml:space="preserve">The causal-Popperian paradigm treats knowledge growth as the improvement of explanatory conjectures through criticism. It asks:</w:t>
      </w:r>
    </w:p>
    <w:p>
      <w:pPr>
        <w:pStyle w:val="BodyText"/>
        <w:spacing w:after="80" w:before="80"/>
        <w:ind w:left="720"/>
      </w:pPr>
      <w:r>
        <w:rPr>
          <w:i/>
          <w:iCs/>
        </w:rPr>
        <w:t xml:space="preserve">What structure would make this phenomenon occur, what interventions does that structure imply, and what observations would force revision?</w:t>
      </w:r>
    </w:p>
    <w:p>
      <w:pPr>
        <w:pStyle w:val="BodyText"/>
      </w:pPr>
      <w:r>
        <w:t xml:space="preserve">The causal side emphasizes mechanisms, counterfactuals, interventions, invariance, autonomy, and transport. The Popperian side emphasizes conjecture, refutation, severe testing, and resistance to ad hoc rescue.</w:t>
      </w:r>
    </w:p>
    <w:p>
      <w:pPr>
        <w:pStyle w:val="BodyText"/>
      </w:pPr>
      <w:r>
        <w:t xml:space="preserve">The central movement is:</w:t>
      </w:r>
    </w:p>
    <w:p>
      <w:pPr>
        <w:pStyle w:val="BodyText"/>
        <w:spacing w:after="80" w:before="80"/>
        <w:ind w:left="720"/>
      </w:pPr>
      <w:r>
        <w:rPr>
          <w:i/>
          <w:iCs/>
        </w:rPr>
        <w:t xml:space="preserve">conjectured structure → intervention-relevant consequences → severe test → criticism or refinement → deeper explanation.</w:t>
      </w:r>
    </w:p>
    <w:p>
      <w:pPr>
        <w:pStyle w:val="BodyText"/>
      </w:pPr>
      <w:r>
        <w:t xml:space="preserve">This paradigm does not reject statistics. Rather, it subordinates statistical evidence to explanatory structure. Statistical evidence becomes scientifically powerful when it helps distinguish rival causal abstractions, not merely when it crosses a threshold.</w:t>
      </w:r>
    </w:p>
    <w:p>
      <w:pPr>
        <w:pStyle w:val="BodyText"/>
      </w:pPr>
      <w:r>
        <w:t xml:space="preserve">A causal-Popperian result should identify the biological, physical, or social structure generating the signal; the conditions under which the claim should remain valid; the interventions that should alter the phenomenon; the rival explanations that are ruled out; and the observations that would count against the theory.</w:t>
      </w:r>
    </w:p>
    <w:p>
      <w:pPr>
        <w:pStyle w:val="Heading3"/>
      </w:pPr>
      <w:r>
        <w:t xml:space="preserve">3.3 Statistical intensity is not the paradigm</w:t>
      </w:r>
    </w:p>
    <w:p>
      <w:pPr>
        <w:pStyle w:val="BodyText"/>
      </w:pPr>
      <w:r>
        <w:t xml:space="preserve">The two paradigms are distinguished by the role statistics plays, not by how much statistics a field uses. This distinction is essential, because the most common way to misclassify a field is to equate heavy statistical machinery with statistical-inductivist dominance.</w:t>
      </w:r>
    </w:p>
    <w:p>
      <w:pPr>
        <w:pStyle w:val="BodyText"/>
      </w:pPr>
      <w:r>
        <w:t xml:space="preserve">Experimental particle physics is the clarifying case. It is among the most statistically intensive sciences — five-sigma thresholds, elaborate error budgets, enormous collaborations — yet the discovery of a predicted particle is a severe test of a causal-structural prediction derived from the Standard Model. There the statistics is subordinated to explanatory structure; this is the causal-Popperian use of statistics. The same machinery becomes statistical-inductivist when the epistemic output is the certified regularity or predictive performance itself, with no structure that the result is adjudicating — anomaly-hunting with no predicted mechanism, parameter estimation that measures a quantity without explaining it, or prediction benchmarks treated as discoveries.</w:t>
      </w:r>
    </w:p>
    <w:p>
      <w:pPr>
        <w:pStyle w:val="BodyText"/>
      </w:pPr>
      <w:r>
        <w:t xml:space="preserve">The operative question for classifying a paper or a field is therefore not how much statistics is present, but whether the statistics certifies a regularity as discovery or arbitrates between rival causal structures. Machine learning is the prototype of the inductivist paradigm precisely because its native epistemic output is predictive performance over a learned regularity; fields that import the machine-learning standard import that orientation with it. This is also why heavy-statistics, causal-Popperian fields can serve as deliberate controls in the empirical program below.</w:t>
      </w:r>
    </w:p>
    <w:p>
      <w:pPr>
        <w:pStyle w:val="Heading2"/>
      </w:pPr>
      <w:r>
        <w:t xml:space="preserve">4. A useful characterization: data versus data-generating process</w:t>
      </w:r>
    </w:p>
    <w:p>
      <w:pPr>
        <w:pStyle w:val="BodyText"/>
      </w:pPr>
      <w:r>
        <w:t xml:space="preserve">One useful characterization of the two paradigms concerns their orientation toward data. This does not replace the main axis of the argument. The main contrast remains statistical-inductivist versus causal-Popperian. The data/process distinction clarifies what each paradigm treats as primary.</w:t>
      </w:r>
    </w:p>
    <w:p>
      <w:pPr>
        <w:pStyle w:val="BodyText"/>
      </w:pPr>
      <w:r>
        <w:t xml:space="preserve">The statistical-inductivist paradigm is primarily data-centered. It begins with observations and asks how they should be summarized, modeled, predicted, generalized, or used to update beliefs. Its central objects are datasets, distributions, estimators, likelihoods, posteriors, error rates, fitted functions, and predictive performance.</w:t>
      </w:r>
    </w:p>
    <w:p>
      <w:pPr>
        <w:pStyle w:val="BodyText"/>
      </w:pPr>
      <w:r>
        <w:t xml:space="preserve">The causal-Popperian paradigm is process-centered. It treats data as traces of an underlying data-generating process: mechanisms, interventions, measurement procedures, hidden variables, selection effects, and experimental conditions. Its central object is not the dataset itself, but the structure that produced the dataset and determines whether observed regularities will survive perturbation.</w:t>
      </w:r>
    </w:p>
    <w:p>
      <w:pPr>
        <w:pStyle w:val="BodyText"/>
      </w:pPr>
      <w:r>
        <w:t xml:space="preserve">The statistical-inductivist paradigm asks what can be inferred from the data. The causal-Popperian paradigm asks what process could have produced the data, what else that process would imply, and what tests could reveal that the proposed process is wrong.</w:t>
      </w:r>
    </w:p>
    <w:p>
      <w:pPr>
        <w:pStyle w:val="BodyText"/>
      </w:pPr>
      <w:r>
        <w:t xml:space="preserve">This distinction explains why the two paradigms can disagree while using the same evidence. A model may describe the observed data well while misrepresenting the process that produced them. It may predict within one regime while failing under intervention, transport, or distribution shift. Conversely, a causal abstraction may initially fit the available data imperfectly while identifying a deeper structure that explains why some regularities hold, why others are artifacts, and what future observations or interventions should reveal.</w:t>
      </w:r>
    </w:p>
    <w:p>
      <w:pPr>
        <w:pStyle w:val="Heading2"/>
      </w:pPr>
      <w:r>
        <w:t xml:space="preserve">5. The problem of induction</w:t>
      </w:r>
    </w:p>
    <w:p>
      <w:pPr>
        <w:pStyle w:val="BodyText"/>
      </w:pPr>
      <w:r>
        <w:t xml:space="preserve">The statistical-inductivist paradigm inherits the Humean problem of induction. Observed regularities do not logically justify conclusions about unobserved cases. Repeated success does not prove that a pattern will continue to hold, especially when the underlying data-generating process changes.</w:t>
      </w:r>
    </w:p>
    <w:p>
      <w:pPr>
        <w:pStyle w:val="BodyText"/>
      </w:pPr>
      <w:r>
        <w:t xml:space="preserve">Popper’s solution was not to justify induction. He rejected the idea that science grows by inductive confirmation. Science advances by proposing conjectures and exposing them to possible refutation. Theories are not verified by repeated success. They are provisionally retained when they survive severe criticism.</w:t>
      </w:r>
    </w:p>
    <w:p>
      <w:pPr>
        <w:pStyle w:val="BodyText"/>
      </w:pPr>
      <w:r>
        <w:t xml:space="preserve">This creates a deep tension with much of modern empirical science. Many fields treat repeated statistical success as epistemic progress. But from a Popperian perspective, the key question is not whether a result was confirmed again under similar conditions. The key question is whether the underlying explanation survived tests that could realistically have shown it to be false.</w:t>
      </w:r>
    </w:p>
    <w:p>
      <w:pPr>
        <w:pStyle w:val="BodyText"/>
      </w:pPr>
      <w:r>
        <w:t xml:space="preserve">The causal-Popperian paradigm adds a further requirement. A conjecture must not merely be falsifiable in the abstract. It must specify the process that generates the data, the interventions that matter, the boundary conditions under which the claim should hold, and the observations that would force revision.</w:t>
      </w:r>
    </w:p>
    <w:p>
      <w:pPr>
        <w:pStyle w:val="Heading2"/>
      </w:pPr>
      <w:r>
        <w:t xml:space="preserve">6. How the statistical-inductivist paradigm gained dominance</w:t>
      </w:r>
    </w:p>
    <w:p>
      <w:pPr>
        <w:pStyle w:val="BodyText"/>
      </w:pPr>
      <w:r>
        <w:t xml:space="preserve">The statistical-inductivist paradigm became dominant because it solved an institutional problem. It made scientific judgment procedurally manageable. It offered standard tests, confidence intervals, p-values, regression models, experimental designs, power calculations, Bayesian updating, risk scores, prediction benchmarks, and reproducible computational workflows.</w:t>
      </w:r>
    </w:p>
    <w:p>
      <w:pPr>
        <w:pStyle w:val="BodyText"/>
      </w:pPr>
      <w:r>
        <w:t>These tools allowed diverse fields to produce comparable, legible, and auditable results. They also allowed science to scale. A field no longer needed a mature causal theory before producing quantitative knowledge. It could proceed by identifying regularities.</w:t>
      </w:r>
    </w:p>
    <w:p>
      <w:pPr>
        <w:pStyle w:val="BodyText"/>
      </w:pPr>
      <w:r>
        <w:t>This was a major achievement. But it created a second-order problem. Once statistical certification became the institutional grammar of discovery, many fields began rewarding results that were statistically certified but causally underdeveloped. The result was an expansion of research outputs without a proportional expansion of durable explanatory knowledge. This institutional reward shift is the qualitative basis for the temporal claim of Section 2.3, and it is made into a testable prediction in Section 16.</w:t>
      </w:r>
    </w:p>
    <w:p>
      <w:pPr>
        <w:pStyle w:val="Heading2"/>
      </w:pPr>
      <w:r>
        <w:t xml:space="preserve">7. The replication crisis as paradigm conflict</w:t>
      </w:r>
    </w:p>
    <w:p>
      <w:pPr>
        <w:pStyle w:val="BodyText"/>
      </w:pPr>
      <w:r>
        <w:t xml:space="preserve">The replication crisis is often described as a failure of statistical practice: small samples, p-hacking, publication bias, underpowered studies, flexible analyses, and selective reporting. These are real causes. But they are symptoms of a deeper epistemic imbalance:</w:t>
      </w:r>
    </w:p>
    <w:p>
      <w:pPr>
        <w:pStyle w:val="BodyText"/>
        <w:spacing w:after="80" w:before="80"/>
        <w:ind w:left="720"/>
      </w:pPr>
      <w:r>
        <w:rPr>
          <w:i/>
          <w:iCs/>
        </w:rPr>
        <w:t xml:space="preserve">Many fields generated statistical regularities faster than they generated causal abstractions capable of explaining, transporting, and criticizing those regularities.</w:t>
      </w:r>
    </w:p>
    <w:p>
      <w:pPr>
        <w:pStyle w:val="BodyText"/>
      </w:pPr>
      <w:r>
        <w:t xml:space="preserve">A result may be reproducible as code but not replicable as science. Reproducibility shows that the same data and analysis can regenerate the same number. Replicability asks whether the claim survives in new data, new laboratories, new populations, new platforms, or new perturbational contexts. The causal-Popperian question is stronger still: does the result survive the changes that the proposed causal abstraction says should not matter, and does it fail under the interventions that the abstraction says should matter?</w:t>
      </w:r>
    </w:p>
    <w:p>
      <w:pPr>
        <w:pStyle w:val="BodyText"/>
      </w:pPr>
      <w:r>
        <w:t xml:space="preserve">The replication crisis can therefore be understood partly as a failure to distinguish regularities in data from structure in the data-generating process. Many fields became highly effective at extracting patterns from datasets but less effective at determining which patterns reflected stable causal structure. A result could be statistically significant, predictive, and reproducible as code while remaining fragile under changes in laboratory, population, platform, measurement, or intervention. In such cases, the data-centered standard was satisfied, but the process-centered standard was not.</w:t>
      </w:r>
    </w:p>
    <w:p>
      <w:pPr>
        <w:pStyle w:val="BodyText"/>
      </w:pPr>
      <w:r>
        <w:t xml:space="preserve">This distinction is especially important in computational biology. A gene signature, biomarker, cluster, pathway enrichment, or predictive model may be statistically strong within a dataset. But the signal may depend on batch effects, cohort composition, platform differences, hidden confounding, tissue handling, preprocessing, or label leakage. The pattern may be real in the local data-generating process without being a biological invariant. A computational biology result becomes a scientific discovery when its statistical or predictive success is tied to a causal abstraction: an account of the biological structure generating the signal, the claim’s scope of validity, and its intervention-relevant consequences.</w:t>
      </w:r>
    </w:p>
    <w:p>
      <w:pPr>
        <w:pStyle w:val="Heading2"/>
      </w:pPr>
      <w:r>
        <w:t xml:space="preserve">8. Why this may explain decelerating progress</w:t>
      </w:r>
    </w:p>
    <w:p>
      <w:pPr>
        <w:pStyle w:val="BodyText"/>
      </w:pPr>
      <w:r>
        <w:t xml:space="preserve">Recent discussions of scientific deceleration often emphasize increasing field complexity, knowledge burden, institutional conservatism, team size, funding incentives, and publication pressure. These factors matter. The present theory proposes an additional mechanism, and it is explicitly the temporal claim of Section 2.3:</w:t>
      </w:r>
    </w:p>
    <w:p>
      <w:pPr>
        <w:pStyle w:val="BodyText"/>
        <w:spacing w:after="80" w:before="80"/>
        <w:ind w:left="720"/>
      </w:pPr>
      <w:r>
        <w:t>Scientific progress, understood as the institutional improvement of understanding, decelerates when the institutions of science increasingly reward statistical-discovery outputs while under-rewarding causal-abstraction outputs.</w:t>
      </w:r>
    </w:p>
    <w:p>
      <w:pPr>
        <w:pStyle w:val="BodyText"/>
      </w:pPr>
      <w:r>
        <w:t xml:space="preserve">This could happen even while publication counts, data scale, computational sophistication, and technical methods all increase. The mechanism is a claim about rates in a population, not about the merit of any single paper: fields develop powerful tools for detecting regularities; institutions reward statistically certified novelty; researchers produce more findings, signatures, associations, models, and descriptive maps; many findings lack clear causal abstraction, scope of validity, or intervention-relevant consequences; downstream researchers must spend more effort filtering, reconciling, and revalidating claims; the literature grows faster than durable explanatory structure; and apparent productivity increases while genuine progress slows.</w:t>
      </w:r>
    </w:p>
    <w:p>
      <w:pPr>
        <w:pStyle w:val="BodyText"/>
      </w:pPr>
      <w:r>
        <w:t xml:space="preserve">This mechanism also makes a prediction the rival explanations do not. If deceleration were driven mainly by rising complexity or the exhaustion of low-hanging fruit, it should appear across fields roughly in proportion to their accumulated knowledge or age. The paradigm mechanism instead predicts that deceleration tracks a field’s epistemic orientation: fields where the statistical-inductivist paradigm dominates — computational biology, and other fields reshaped by machine learning — should decelerate more than fields of comparable maturity that remain causal-Popperian. The contrast can even be drawn within a single discipline: the statistically oriented subfields of physics should show the deceleration signature more strongly than its mechanistically oriented subfields, while heavy-statistics but structure-driven areas should not. This field-differential prediction, developed in Sections 10 and 16, is the theory’s sharpest point of contact with evidence, because it distinguishes the proposed mechanism from generic burden-of-knowledge accounts that predict no such ordering by paradigm.</w:t>
      </w:r>
    </w:p>
    <w:p>
      <w:pPr>
        <w:pStyle w:val="BodyText"/>
      </w:pPr>
      <w:r>
        <w:t>Because this is a claim about rates, it cannot be established by comparing individual papers at a single moment. It requires measuring how the conversion step behaves across a population over time. This theory does not imply that statistical work is unimportant. Statistical discovery can be the first stage of progress or can enable later progress. But durable explanatory progress depends on conversion:</w:t>
      </w:r>
    </w:p>
    <w:p>
      <w:pPr>
        <w:pStyle w:val="BodyText"/>
        <w:spacing w:after="80" w:before="80"/>
        <w:ind w:left="720"/>
      </w:pPr>
      <w:r>
        <w:rPr>
          <w:i/>
          <w:iCs/>
        </w:rPr>
        <w:t xml:space="preserve">statistical regularity → causal abstraction → severe test → durable scientific structure.</w:t>
      </w:r>
    </w:p>
    <w:p>
      <w:pPr>
        <w:pStyle w:val="BodyText"/>
      </w:pPr>
      <w:r>
        <w:t xml:space="preserve">If this conversion step becomes rare or weak, science accumulates results without accumulating proportional understanding. Note again the unit-of-analysis point: the conversion that turns a regularity into durable structure may be performed by a different paper, in a different group, years later. The theory is therefore about the conversion rate of a literature, which is why Section 14 makes conversion an explicitly measured, lineage-level quantity.</w:t>
      </w:r>
    </w:p>
    <w:p>
      <w:pPr>
        <w:pStyle w:val="Heading2"/>
      </w:pPr>
      <w:r>
        <w:t xml:space="preserve">9. What counts as causal abstraction?</w:t>
      </w:r>
    </w:p>
    <w:p>
      <w:pPr>
        <w:pStyle w:val="BodyText"/>
      </w:pPr>
      <w:r>
        <w:t xml:space="preserve">A causal abstraction is not merely a causal claim. It is a structured representation of what matters in a domain. It specifies the relevant entities or variables; the dependencies among them; the mechanisms that generate the phenomenon; the interventions that should alter the phenomenon; the conditions under which the claim should hold; the conditions under which it should fail; and the rival explanations being excluded.</w:t>
      </w:r>
    </w:p>
    <w:p>
      <w:pPr>
        <w:pStyle w:val="BodyText"/>
      </w:pPr>
      <w:r>
        <w:t xml:space="preserve">A causal abstraction compresses the world in a way that supports explanation, intervention, and criticism. It says not only that a pattern exists, but why that pattern exists and what would happen if the relevant structure were changed.</w:t>
      </w:r>
    </w:p>
    <w:p>
      <w:pPr>
        <w:pStyle w:val="BodyText"/>
      </w:pPr>
      <w:r>
        <w:t xml:space="preserve">This is why low probability is not the right criterion for novelty. A novel theory may be low probability under the existing literature, but low probability itself is cheap. Crackpot theories are also low probability. The central achievement is disciplined causal commitment: the ability to propose an abstraction and let it constrain subsequent reasoning, testing, and revision.</w:t>
      </w:r>
    </w:p>
    <w:p>
      <w:pPr>
        <w:pStyle w:val="BodyText"/>
      </w:pPr>
      <w:r>
        <w:t xml:space="preserve">A novel approximately correct scientific theory should therefore be understood as a successful commitment to a causal abstraction that identifies real structure at the right level of description.</w:t>
      </w:r>
    </w:p>
    <w:p>
      <w:pPr>
        <w:pStyle w:val="Heading2"/>
      </w:pPr>
      <w:r>
        <w:t xml:space="preserve">10. Empirical program</w:t>
      </w:r>
    </w:p>
    <w:p>
      <w:pPr>
        <w:pStyle w:val="Heading3"/>
      </w:pPr>
      <w:r>
        <w:t xml:space="preserve">10.1 What each claim requires</w:t>
      </w:r>
    </w:p>
    <w:p>
      <w:pPr>
        <w:pStyle w:val="BodyText"/>
      </w:pPr>
      <w:r>
        <w:t xml:space="preserve">Because the thesis is three claims, the empirical program must do more than one thing. The constitutive claim requires nothing empirical; it defines terms. The predictive claim requires a way to measure causal-abstraction commitment at publication and to measure durable uptake later, within a corpus, keeping predictor and outcome independent. The temporal claim requires a way to measure, across time and across comparable venues, whether the mix of rewarded outputs has shifted and whether the conversion rate has fallen.</w:t>
      </w:r>
    </w:p>
    <w:p>
      <w:pPr>
        <w:pStyle w:val="BodyText"/>
      </w:pPr>
      <w:r>
        <w:t xml:space="preserve">The study therefore has two analytical halves that should not be confused: a within-corpus dimensional analysis that bears on the predictive claim, and a longitudinal population analysis that bears on the temporal claim. The deceleration thesis lives in the second half.</w:t>
      </w:r>
    </w:p>
    <w:p>
      <w:pPr>
        <w:pStyle w:val="Heading3"/>
      </w:pPr>
      <w:r>
        <w:t xml:space="preserve">10.2 Design principle: sample independently of the outcome</w:t>
      </w:r>
    </w:p>
    <w:p>
      <w:pPr>
        <w:pStyle w:val="BodyText"/>
      </w:pPr>
      <w:r>
        <w:t xml:space="preserve">The corpus is built as a cohort. The sampling frame is fixed before any outcome is known, and works are never selected because of what later became of them. This matters for three reasons.</w:t>
      </w:r>
    </w:p>
    <w:p>
      <w:pPr>
        <w:pStyle w:val="BodyText"/>
      </w:pPr>
      <w:r>
        <w:t xml:space="preserve">First, defining a comparison by whether a work did or did not become recognized progress would select on the outcome and make the design circular, because membership would depend on the very thing under study.</w:t>
      </w:r>
    </w:p>
    <w:p>
      <w:pPr>
        <w:pStyle w:val="BodyText"/>
      </w:pPr>
      <w:r>
        <w:t xml:space="preserve">Second, the thesis predicts that prestige and progress diverge. A high-prestige work that did not become central is therefore ambiguous: it might be a neutral comparison case, or it might be an instance of the predicted effect — a high statistical-dependence work with a fragile trajectory. Only a frame defined independently of outcome avoids importing that ambiguity into the design.</w:t>
      </w:r>
    </w:p>
    <w:p>
      <w:pPr>
        <w:pStyle w:val="BodyText"/>
      </w:pPr>
      <w:r>
        <w:t xml:space="preserve">Third, the thesis is dimensional and processual. It asks how much causal-abstraction commitment a work carries and how conversion behaves over time, which is a cohort question: define a sampling frame independent of outcome, measure commitment blind, then observe outcomes after a maturity window. Era and field therefore enter every analysis as covariates or stratifiers rather than as the basis for outcome-defined comparison groups.</w:t>
      </w:r>
    </w:p>
    <w:p>
      <w:pPr>
        <w:pStyle w:val="Heading3"/>
      </w:pPr>
      <w:r>
        <w:t xml:space="preserve">10.3 Sampling frame and temporal coverage</w:t>
      </w:r>
    </w:p>
    <w:p>
      <w:pPr>
        <w:pStyle w:val="BodyText"/>
      </w:pPr>
      <w:r>
        <w:t xml:space="preserve">The study should build a new collection rather than reanalyze existing replication-project corpora. The sampling frame is a grid of field × era × venue-tier, defined independently of any later recognition. Venue-tier is part of the frame because the reward step of the temporal claim is specifically about what prestige venues reward, so each tier must be represented rather than collapsed.</w:t>
      </w:r>
    </w:p>
    <w:p>
      <w:pPr>
        <w:pStyle w:val="BodyText"/>
      </w:pPr>
      <w:r>
        <w:t xml:space="preserve">Temporal coverage is balanced across eras by design rather than weighted toward the present, because the temporal claim is a statement about a trend, and recency-weighting would distort the very slope under study. Within that span, two coverage anchors are useful: a retrospective layer of older work that can be read as it appeared, before later recognition made its importance obvious; and a recent-frontier layer that represents what current institutions reward but has not had a full maturity window, and so is handled on a shorter, separately reported outcome window. These layers are coverage descriptors, not analytic comparison groups.</w:t>
      </w:r>
    </w:p>
    <w:p>
      <w:pPr>
        <w:pStyle w:val="Heading3"/>
      </w:pPr>
      <w:r>
        <w:t xml:space="preserve">10.4 Field selection across the paradigm gradient</w:t>
      </w:r>
    </w:p>
    <w:p>
      <w:pPr>
        <w:pStyle w:val="BodyText"/>
      </w:pPr>
      <w:r>
        <w:t xml:space="preserve">Because the sharpest test is field-differential, the fields are not sampled for representativeness alone; they are chosen to span the paradigm gradient and, critically, to dissociate paradigm orientation from statistical intensity, per Section 3.3. A useful selection includes at least four kinds of field.</w:t>
      </w:r>
    </w:p>
    <w:p>
      <w:pPr>
        <w:pStyle w:val="BodyText"/>
        <w:numPr>
          <w:ilvl w:val="0"/>
          <w:numId w:val="2"/>
        </w:numPr>
      </w:pPr>
      <w:r>
        <w:rPr>
          <w:b/>
          <w:bCs/>
        </w:rPr>
        <w:t xml:space="preserve">High-statistics, inductivist (the focal case): </w:t>
      </w:r>
      <w:r>
        <w:t xml:space="preserve">computational biology and other machine-learning-reshaped fields, where the epistemic output is largely a certified regularity or predictive model.</w:t>
      </w:r>
    </w:p>
    <w:p>
      <w:pPr>
        <w:pStyle w:val="BodyText"/>
        <w:numPr>
          <w:ilvl w:val="0"/>
          <w:numId w:val="2"/>
        </w:numPr>
      </w:pPr>
      <w:r>
        <w:rPr>
          <w:b/>
          <w:bCs/>
        </w:rPr>
        <w:t xml:space="preserve">High-statistics, causal-Popperian (the key control): </w:t>
      </w:r>
      <w:r>
        <w:t xml:space="preserve">structure-driven experimental physics such as the prediction-and-severe-test tradition in particle physics, which is statistically intensive but subordinates statistics to explanatory structure. On the theory it should not show the inductivist deceleration signature, which is what separates paradigm from statistics-intensity.</w:t>
      </w:r>
    </w:p>
    <w:p>
      <w:pPr>
        <w:pStyle w:val="BodyText"/>
        <w:numPr>
          <w:ilvl w:val="0"/>
          <w:numId w:val="2"/>
        </w:numPr>
      </w:pPr>
      <w:r>
        <w:rPr>
          <w:b/>
          <w:bCs/>
        </w:rPr>
        <w:t xml:space="preserve">Lower-statistics, causal-mechanistic: </w:t>
      </w:r>
      <w:r>
        <w:t xml:space="preserve">mechanistic subfields of biology where the central output remains a mechanism or intervention result.</w:t>
      </w:r>
    </w:p>
    <w:p>
      <w:pPr>
        <w:pStyle w:val="BodyText"/>
        <w:numPr>
          <w:ilvl w:val="0"/>
          <w:numId w:val="2"/>
        </w:numPr>
      </w:pPr>
      <w:r>
        <w:rPr>
          <w:b/>
          <w:bCs/>
        </w:rPr>
        <w:t xml:space="preserve">Within-discipline contrast: </w:t>
      </w:r>
      <w:r>
        <w:t xml:space="preserve">statistically oriented versus mechanistically oriented subfields of the same discipline (for example, data-driven versus structure-driven areas of physics), which holds many cultural and funding confounds fixed while varying paradigm orientation.</w:t>
      </w:r>
    </w:p>
    <w:p>
      <w:pPr>
        <w:pStyle w:val="BodyText"/>
      </w:pPr>
      <w:r>
        <w:t xml:space="preserve">Field-level paradigm dominance is measured independently of deceleration — as the aggregate causal-abstraction and statistical-dependence mix of a field’s sampled papers — so that the predictor and the outcome of the field-differential test are not the same quantity. Each field is then compared against its own historical trend rather than against other fields’ levels, which sidesteps cross-field citation-norm incommensurability.</w:t>
      </w:r>
    </w:p>
    <w:p>
      <w:pPr>
        <w:pStyle w:val="Heading3"/>
      </w:pPr>
      <w:r>
        <w:t xml:space="preserve">10.5 The temporal test: paradigm-orientation drift, with machine-learning adoption as one instrument</w:t>
      </w:r>
    </w:p>
    <w:p>
      <w:pPr>
        <w:pStyle w:val="BodyText"/>
      </w:pPr>
      <w:r>
        <w:t xml:space="preserve">The temporal claim is a statement about a changing rate in a population: as institutions increasingly reward statistical-discovery outputs over causal-abstraction outputs, the conversion of regularities into tested abstractions falls. Its most direct measurement is therefore the trajectory of coded paradigm orientation itself. Aggregating the blinded Statistical-Inductivist Dependence and Causal-Abstraction Commitment scores, together with the epistemic-classification mix, across each field’s sampled papers by era yields a time series of the field’s orientation. The temporal claim predicts that, within comparable venues, inductivist dependence rises, per-dimension causal-abstraction commitment falls, and the lineage-level conversion rate declines. This measurement is mechanism-agnostic: it registers the shift regardless of what produced it.</w:t>
      </w:r>
    </w:p>
    <w:p>
      <w:pPr>
        <w:pStyle w:val="BodyText"/>
      </w:pPr>
      <w:r>
        <w:t xml:space="preserve">Making the test mechanism-agnostic is not optional. The statistical-inductivist paradigm long predates machine learning (Section 6); the significance-testing regime, the high-throughput data deluge, and the pipeline-driven analysis culture are older inductivist intensifications. A design that operationalized the temporal claim through machine-learning adoption would narrow the thesis to a recent sub-claim and would mis-date fields whose inductivist turn is older, such as psychology, whose relevant inflection is a significance-testing and replication inflection rather than a machine-learning one. The drift in coded orientation, not the arrival of any one method, is the temporal claim’s proper observable.</w:t>
      </w:r>
    </w:p>
    <w:p>
      <w:pPr>
        <w:pStyle w:val="BodyText"/>
      </w:pPr>
      <w:r>
        <w:t xml:space="preserve">Machine-learning penetration then enters as one driver among several, valuable for a specific reason. It entered different fields at different times and with different intensity — computational biology early and heavily, structure-driven experimental physics barely — and it is comparatively datable and exogenous. This staggered adoption supplies a difference-in-differences design that a diffuse secular trend cannot: a test of whether a field’s orientation drift accelerates after its machine-learning penetration. The role of this test is causal identification of one mechanism’s timing, not establishment of the trend, which the primary measurement already carries.</w:t>
      </w:r>
    </w:p>
    <w:p>
      <w:pPr>
        <w:pStyle w:val="BodyText"/>
      </w:pPr>
      <w:r>
        <w:t xml:space="preserve">This division makes the machine-learning result informative in both directions. If the drift follows penetration, machine-learning adoption is implicated as a driver. If the drift precedes penetration, the temporal claim is untouched — inductivist dominance simply has older roots — and only the narrower machine-learning-timing hypothesis is refuted. The reverse-causation worry, in which a field adopts machine learning because it has already exhausted its causal low-hanging fruit, so that deceleration causes the method shift rather than the reverse, applies specifically to this secondary tier; the staggered timing is what helps adjudicate it, and the order of events is to be established, not assumed.</w:t>
      </w:r>
    </w:p>
    <w:p>
      <w:pPr>
        <w:pStyle w:val="Heading3"/>
      </w:pPr>
      <w:r>
        <w:t xml:space="preserve">10.6 Sampling strategy</w:t>
      </w:r>
    </w:p>
    <w:p>
      <w:pPr>
        <w:pStyle w:val="BodyText"/>
      </w:pPr>
      <w:r>
        <w:t xml:space="preserve">Within the frame, papers are drawn by stratified probability sampling — random within each field × era × venue-tier cell — so that the analyst’s hand is removed from selection. Sampling is deliberately not weighted by citation count. Citation is partly an outcome, so weighting selection on it would select on the dependent variable and bias the very uptake analyses the study depends on, repeating in a new form the error of an outcome-defined comparison group.</w:t>
      </w:r>
    </w:p>
    <w:p>
      <w:pPr>
        <w:pStyle w:val="BodyText"/>
      </w:pPr>
      <w:r>
        <w:t xml:space="preserve">Recognized-progress cases are rare, so if a stratum must be enriched to obtain enough of them, enrichment should be done with a known inclusion probability and corrected with design weights in analysis, never by informal citation-weighting. Citation then remains available as a clean outcome variable rather than contaminating the sample.</w:t>
      </w:r>
    </w:p>
    <w:p>
      <w:pPr>
        <w:pStyle w:val="Heading3"/>
      </w:pPr>
      <w:r>
        <w:t xml:space="preserve">10.7 Blinding and outcome window</w:t>
      </w:r>
    </w:p>
    <w:p>
      <w:pPr>
        <w:pStyle w:val="BodyText"/>
      </w:pPr>
      <w:r>
        <w:t xml:space="preserve">Causal-abstraction commitment and statistical-inductivist dependence should be scored blind to sampling cell, outcome information, prior ratings, and, where feasible, paper identity. Outcomes should be measured only after a maturity window appropriate to the publication era, with recent papers handled on a shorter, explicitly separate window so that immature uptake is never compared directly against mature uptake.</w:t>
      </w:r>
    </w:p>
    <w:p>
      <w:pPr>
        <w:pStyle w:val="Heading2"/>
      </w:pPr>
      <w:r>
        <w:t xml:space="preserve">11. Paper classification</w:t>
      </w:r>
    </w:p>
    <w:p>
      <w:pPr>
        <w:pStyle w:val="BodyText"/>
      </w:pPr>
      <w:r>
        <w:t xml:space="preserve">Each paper is coded according to the epistemic structure of its central contribution. The categories are:</w:t>
      </w:r>
    </w:p>
    <w:p>
      <w:pPr>
        <w:pStyle w:val="BodyText"/>
        <w:numPr>
          <w:ilvl w:val="0"/>
          <w:numId w:val="2"/>
        </w:numPr>
      </w:pPr>
      <w:r>
        <w:rPr>
          <w:b/>
          <w:bCs/>
        </w:rPr>
        <w:t xml:space="preserve">Statistical regularity. </w:t>
      </w:r>
      <w:r>
        <w:t xml:space="preserve">The main result is an association, signature, cluster, prediction, enrichment, correlation, or fitted model.</w:t>
      </w:r>
    </w:p>
    <w:p>
      <w:pPr>
        <w:pStyle w:val="BodyText"/>
        <w:numPr>
          <w:ilvl w:val="0"/>
          <w:numId w:val="2"/>
        </w:numPr>
      </w:pPr>
      <w:r>
        <w:rPr>
          <w:b/>
          <w:bCs/>
        </w:rPr>
        <w:t xml:space="preserve">Descriptive ontology. </w:t>
      </w:r>
      <w:r>
        <w:t xml:space="preserve">The main result introduces a map, atlas, taxonomy, dataset, or classification system.</w:t>
      </w:r>
    </w:p>
    <w:p>
      <w:pPr>
        <w:pStyle w:val="BodyText"/>
        <w:numPr>
          <w:ilvl w:val="0"/>
          <w:numId w:val="2"/>
        </w:numPr>
      </w:pPr>
      <w:r>
        <w:rPr>
          <w:b/>
          <w:bCs/>
        </w:rPr>
        <w:t xml:space="preserve">Causal mechanism. </w:t>
      </w:r>
      <w:r>
        <w:t xml:space="preserve">The main result identifies a mechanism or causal structure.</w:t>
      </w:r>
    </w:p>
    <w:p>
      <w:pPr>
        <w:pStyle w:val="BodyText"/>
        <w:numPr>
          <w:ilvl w:val="0"/>
          <w:numId w:val="2"/>
        </w:numPr>
      </w:pPr>
      <w:r>
        <w:rPr>
          <w:b/>
          <w:bCs/>
        </w:rPr>
        <w:t xml:space="preserve">Intervention result. </w:t>
      </w:r>
      <w:r>
        <w:t xml:space="preserve">The main result shows that manipulating a variable changes the phenomenon.</w:t>
      </w:r>
    </w:p>
    <w:p>
      <w:pPr>
        <w:pStyle w:val="BodyText"/>
        <w:numPr>
          <w:ilvl w:val="0"/>
          <w:numId w:val="2"/>
        </w:numPr>
      </w:pPr>
      <w:r>
        <w:rPr>
          <w:b/>
          <w:bCs/>
        </w:rPr>
        <w:t xml:space="preserve">Severe test of a theory. </w:t>
      </w:r>
      <w:r>
        <w:t xml:space="preserve">The main result tests a risky implication of a causal abstraction.</w:t>
      </w:r>
    </w:p>
    <w:p>
      <w:pPr>
        <w:pStyle w:val="BodyText"/>
        <w:numPr>
          <w:ilvl w:val="0"/>
          <w:numId w:val="2"/>
        </w:numPr>
      </w:pPr>
      <w:r>
        <w:rPr>
          <w:b/>
          <w:bCs/>
        </w:rPr>
        <w:t xml:space="preserve">Tool or infrastructure. </w:t>
      </w:r>
      <w:r>
        <w:t xml:space="preserve">The main result creates a method, instrument, assay, or computational system that enables future inquiry.</w:t>
      </w:r>
    </w:p>
    <w:p>
      <w:pPr>
        <w:pStyle w:val="BodyText"/>
      </w:pPr>
      <w:r>
        <w:t xml:space="preserve">Mixed cases are expected. A paper can contain statistical discovery and causal abstraction. The point is not to force a binary label, but to estimate how much of the paper’s epistemic burden is carried by statistical regularity versus causal structure. Choose one primary classification and list secondary classifications.</w:t>
      </w:r>
    </w:p>
    <w:p>
      <w:pPr>
        <w:pStyle w:val="Heading2"/>
      </w:pPr>
      <w:r>
        <w:t xml:space="preserve">12. Causal-Abstraction Commitment Score</w:t>
      </w:r>
    </w:p>
    <w:p>
      <w:pPr>
        <w:pStyle w:val="BodyText"/>
      </w:pPr>
      <w:r>
        <w:t xml:space="preserve">The central predictor is a Causal-Abstraction Commitment Score. Each dimension is scored 0–4, where 0 is absent, 1 is minimal or rhetorical, 2 is present but secondary or partial, 3 is substantial and central, and 4 is central and rigorously developed. The dimensions are:</w:t>
      </w:r>
    </w:p>
    <w:p>
      <w:pPr>
        <w:pStyle w:val="BodyText"/>
        <w:numPr>
          <w:ilvl w:val="0"/>
          <w:numId w:val="2"/>
        </w:numPr>
      </w:pPr>
      <w:r>
        <w:rPr>
          <w:b/>
          <w:bCs/>
        </w:rPr>
        <w:t xml:space="preserve">Entity specification — </w:t>
      </w:r>
      <w:r>
        <w:t xml:space="preserve">relevant entities, variables, structures, or categories are named at the right level of abstraction, with operational criteria for identifying them.</w:t>
      </w:r>
    </w:p>
    <w:p>
      <w:pPr>
        <w:pStyle w:val="BodyText"/>
        <w:numPr>
          <w:ilvl w:val="0"/>
          <w:numId w:val="2"/>
        </w:numPr>
      </w:pPr>
      <w:r>
        <w:rPr>
          <w:b/>
          <w:bCs/>
        </w:rPr>
        <w:t xml:space="preserve">Causal relation — </w:t>
      </w:r>
      <w:r>
        <w:t xml:space="preserve">dependencies or directional relations among entities are specified.</w:t>
      </w:r>
    </w:p>
    <w:p>
      <w:pPr>
        <w:pStyle w:val="BodyText"/>
        <w:numPr>
          <w:ilvl w:val="0"/>
          <w:numId w:val="2"/>
        </w:numPr>
      </w:pPr>
      <w:r>
        <w:rPr>
          <w:b/>
          <w:bCs/>
        </w:rPr>
        <w:t xml:space="preserve">Mechanism — </w:t>
      </w:r>
      <w:r>
        <w:t xml:space="preserve">the paper explains how the phenomenon is generated.</w:t>
      </w:r>
    </w:p>
    <w:p>
      <w:pPr>
        <w:pStyle w:val="BodyText"/>
        <w:numPr>
          <w:ilvl w:val="0"/>
          <w:numId w:val="2"/>
        </w:numPr>
      </w:pPr>
      <w:r>
        <w:rPr>
          <w:b/>
          <w:bCs/>
        </w:rPr>
        <w:t xml:space="preserve">Intervention relevance — </w:t>
      </w:r>
      <w:r>
        <w:t xml:space="preserve">the paper identifies manipulations that should alter the phenomenon.</w:t>
      </w:r>
    </w:p>
    <w:p>
      <w:pPr>
        <w:pStyle w:val="BodyText"/>
        <w:numPr>
          <w:ilvl w:val="0"/>
          <w:numId w:val="2"/>
        </w:numPr>
      </w:pPr>
      <w:r>
        <w:rPr>
          <w:b/>
          <w:bCs/>
        </w:rPr>
        <w:t xml:space="preserve">Invariance — </w:t>
      </w:r>
      <w:r>
        <w:t xml:space="preserve">the paper states or implies where the claim should hold or fail.</w:t>
      </w:r>
    </w:p>
    <w:p>
      <w:pPr>
        <w:pStyle w:val="BodyText"/>
        <w:numPr>
          <w:ilvl w:val="0"/>
          <w:numId w:val="2"/>
        </w:numPr>
      </w:pPr>
      <w:r>
        <w:rPr>
          <w:b/>
          <w:bCs/>
        </w:rPr>
        <w:t xml:space="preserve">Rival explanations — </w:t>
      </w:r>
      <w:r>
        <w:t xml:space="preserve">concrete alternatives are addressed or ruled out.</w:t>
      </w:r>
    </w:p>
    <w:p>
      <w:pPr>
        <w:pStyle w:val="BodyText"/>
        <w:numPr>
          <w:ilvl w:val="0"/>
          <w:numId w:val="2"/>
        </w:numPr>
      </w:pPr>
      <w:r>
        <w:rPr>
          <w:b/>
          <w:bCs/>
        </w:rPr>
        <w:t xml:space="preserve">Severe test — </w:t>
      </w:r>
      <w:r>
        <w:t xml:space="preserve">the paper exposes the claim to a realistic possible failure.</w:t>
      </w:r>
    </w:p>
    <w:p>
      <w:pPr>
        <w:pStyle w:val="BodyText"/>
        <w:numPr>
          <w:ilvl w:val="0"/>
          <w:numId w:val="2"/>
        </w:numPr>
      </w:pPr>
      <w:r>
        <w:rPr>
          <w:b/>
          <w:bCs/>
        </w:rPr>
        <w:t xml:space="preserve">Measurement-to-mechanism linkage — </w:t>
      </w:r>
      <w:r>
        <w:t xml:space="preserve">the measurement model connects how observations are produced to the proposed generative structure, rather than being merely careful.</w:t>
      </w:r>
    </w:p>
    <w:p>
      <w:pPr>
        <w:pStyle w:val="BodyText"/>
        <w:numPr>
          <w:ilvl w:val="0"/>
          <w:numId w:val="2"/>
        </w:numPr>
      </w:pPr>
      <w:r>
        <w:rPr>
          <w:b/>
          <w:bCs/>
        </w:rPr>
        <w:t xml:space="preserve">Abstraction discipline — </w:t>
      </w:r>
      <w:r>
        <w:t xml:space="preserve">interpretation consistently follows the proposed abstraction rather than ad hoc story-making.</w:t>
      </w:r>
    </w:p>
    <w:p>
      <w:pPr>
        <w:pStyle w:val="BodyText"/>
      </w:pPr>
      <w:r>
        <w:t xml:space="preserve">The unweighted total measures causal-Popperian structure. Because the two scales have different numbers of dimensions, they should be compared as per-dimension means rather than raw totals.</w:t>
      </w:r>
    </w:p>
    <w:p>
      <w:pPr>
        <w:pStyle w:val="Heading2"/>
      </w:pPr>
      <w:r>
        <w:t xml:space="preserve">13. Statistical-Inductivist Dependence Score</w:t>
      </w:r>
    </w:p>
    <w:p>
      <w:pPr>
        <w:pStyle w:val="BodyText"/>
      </w:pPr>
      <w:r>
        <w:t xml:space="preserve">A complementary score measures how much a paper depends on statistical certification itself. It deliberately contains only dimensions distinct from the causal scale; mechanistic thinness, weak intervention, and narrow validation are not scored here but are read off low causal-abstraction scores, so that the two scales do not collapse into one axis. Each dimension is scored 0–4:</w:t>
      </w:r>
    </w:p>
    <w:p>
      <w:pPr>
        <w:pStyle w:val="BodyText"/>
        <w:numPr>
          <w:ilvl w:val="0"/>
          <w:numId w:val="2"/>
        </w:numPr>
      </w:pPr>
      <w:r>
        <w:rPr>
          <w:b/>
          <w:bCs/>
        </w:rPr>
        <w:t xml:space="preserve">Significance dependence — </w:t>
      </w:r>
      <w:r>
        <w:t xml:space="preserve">the main claim depends primarily on p-values, q-values, or significance thresholds.</w:t>
      </w:r>
    </w:p>
    <w:p>
      <w:pPr>
        <w:pStyle w:val="BodyText"/>
        <w:numPr>
          <w:ilvl w:val="0"/>
          <w:numId w:val="2"/>
        </w:numPr>
      </w:pPr>
      <w:r>
        <w:rPr>
          <w:b/>
          <w:bCs/>
        </w:rPr>
        <w:t>Terminal model warrant — the central claim counts as discovery because a trained model predicts, classifies, embeds, clusters, ranks, or benchmarks well, rather than because the model tests a specified causal or generative structure. Do not score this dimension merely because a model was trained; score the role model performance plays in warranting the central claim.</w:t>
      </w:r>
      <w:r/>
    </w:p>
    <w:p>
      <w:pPr>
        <w:pStyle w:val="BodyText"/>
        <w:numPr>
          <w:ilvl w:val="0"/>
          <w:numId w:val="2"/>
        </w:numPr>
      </w:pPr>
      <w:r>
        <w:t>Covariate-control warrant — the main claim is warranted by adjustment, matching, stratification, variable selection, or robustness to many controls without a clear causal account of which variables should or should not be conditioned on. This scores adjustment-as-warrant, not whether the paper in fact contains confounder or collider bias.</w:t>
      </w:r>
    </w:p>
    <w:p>
      <w:pPr>
        <w:pStyle w:val="BodyText"/>
        <w:numPr>
          <w:ilvl w:val="0"/>
          <w:numId w:val="2"/>
        </w:numPr>
      </w:pPr>
      <w:r>
        <w:rPr>
          <w:b/>
          <w:bCs/>
        </w:rPr>
        <w:t xml:space="preserve">High-dimensional search — </w:t>
      </w:r>
      <w:r>
        <w:t xml:space="preserve">the main result emerges from many possible relationships, features, genes, annotations, or model choices.</w:t>
      </w:r>
    </w:p>
    <w:p>
      <w:pPr>
        <w:pStyle w:val="BodyText"/>
        <w:numPr>
          <w:ilvl w:val="0"/>
          <w:numId w:val="2"/>
        </w:numPr>
      </w:pPr>
      <w:r>
        <w:rPr>
          <w:b/>
          <w:bCs/>
        </w:rPr>
        <w:t xml:space="preserve">Flexible pipeline — </w:t>
      </w:r>
      <w:r>
        <w:t xml:space="preserve">many preprocessing, normalization, modeling, or analytic choices could have produced different outputs.</w:t>
      </w:r>
    </w:p>
    <w:p>
      <w:pPr>
        <w:pStyle w:val="BodyText"/>
      </w:pPr>
      <w:r>
        <w:t xml:space="preserve">This is not a “bad science” score. A paper can be highly statistical and scientifically valuable. The empirical question is whether statistical-inductivist dependence predicts a different downstream trajectory than causal-abstraction commitment.</w:t>
      </w:r>
    </w:p>
    <w:p>
      <w:pPr>
        <w:pStyle w:val="Heading2"/>
      </w:pPr>
      <w:r>
        <w:t xml:space="preserve">14. Conversion: defining and detecting it</w:t>
      </w:r>
    </w:p>
    <w:p>
      <w:pPr>
        <w:pStyle w:val="BodyText"/>
      </w:pPr>
      <w:r>
        <w:t xml:space="preserve">Conversion is the hinge of the whole theory. It is the content of the constitutive definition, the engine of the temporal claim, and the moderator in the fragility hypothesis. It therefore cannot be left informal. If “converted” cannot be detected independently and with a time order, the theory immunizes itself against refutation: any durable statistical paper can be relabeled as having been converted, and any fragile one as never converted. That is precisely the ad hoc rescue the causal-Popperian paradigm condemns, and the theory must not commit it.</w:t>
      </w:r>
    </w:p>
    <w:p>
      <w:pPr>
        <w:pStyle w:val="BodyText"/>
      </w:pPr>
      <w:r>
        <w:t xml:space="preserve">Conversion is therefore defined operationally as a later contribution that supplies a mechanism, an intervention warrant, or a transport boundary for the original regularity; that is identifiable independently of the original paper’s eventual fame; and that carries a timestamp later than the original. Conversion is a property of a lineage, measured on the citing and elaborating literature, not a property of the original paper read in isolation. This lineage-level definition is what allows the predictive and temporal claims to be tested without assuming the conclusion.</w:t>
      </w:r>
    </w:p>
    <w:p>
      <w:pPr>
        <w:pStyle w:val="Heading2"/>
      </w:pPr>
      <w:r>
        <w:t xml:space="preserve">15. Outcome measures</w:t>
      </w:r>
    </w:p>
    <w:p>
      <w:pPr>
        <w:pStyle w:val="BodyText"/>
      </w:pPr>
      <w:r>
        <w:t xml:space="preserve">The study should avoid claiming to measure truth directly. Instead it measures downstream signatures of durable progress. The central methodological point is that the prediction concerns the kind of uptake, not its amount.</w:t>
      </w:r>
    </w:p>
    <w:p>
      <w:pPr>
        <w:pStyle w:val="BodyText"/>
      </w:pPr>
      <w:r>
        <w:t xml:space="preserve">The theory is fully compatible with high-statistical papers receiving more citations than causal-abstraction papers. Statistical results are reusable, benchmarkable, and generative of follow-on filtering work, all of which attract citations. Raw citation count is therefore a weak and potentially misleading outcome, and a null or even negative relationship between abstraction commitment and citation volume does not refute the theory. The stronger and sharper prediction is that causal-abstraction commitment produces more intervention-, ontology-, and mechanism-centered uptake, more transport, and greater citation durability.</w:t>
      </w:r>
    </w:p>
    <w:p>
      <w:pPr>
        <w:pStyle w:val="BodyText"/>
      </w:pPr>
      <w:r>
        <w:t xml:space="preserve">Predictor and outcome must be kept independent. In particular, “mechanistic uptake” as an outcome must not simply restate the “mechanism” dimension of the predictor, or the analysis measures one construct twice and calls it prediction. Outcome dimensions include citation durability, independent-lab uptake, mechanistic uptake, intervention uptake, ontological uptake, review integration, clinical or engineering consequence, replication or transport, and disruptiveness.</w:t>
      </w:r>
    </w:p>
    <w:p>
      <w:pPr>
        <w:pStyle w:val="BodyText"/>
      </w:pPr>
      <w:r>
        <w:t xml:space="preserve">For the temporal claim specifically, one further family of outcomes is required: the downstream-burden measures — the volume of correction, contradiction, and failed-transport work that a literature generates. This is the friction that deceleration actually consists of, and it is measured on literatures over time rather than on single papers.</w:t>
      </w:r>
    </w:p>
    <w:p>
      <w:pPr>
        <w:pStyle w:val="Heading2"/>
      </w:pPr>
      <w:r>
        <w:t xml:space="preserve">16. Hypotheses</w:t>
      </w:r>
    </w:p>
    <w:p>
      <w:pPr>
        <w:pStyle w:val="BodyText"/>
      </w:pPr>
      <w:r>
        <w:t xml:space="preserve">The hypotheses divide by claim. Paper-level hypotheses bear on the predictive claim and are tested in the within-corpus dimensional analysis. Population-level hypotheses bear on the temporal claim and are tested in the longitudinal analysis. The constitutive claim is definitional and generates no hypotheses.</w:t>
      </w:r>
    </w:p>
    <w:p>
      <w:pPr>
        <w:pStyle w:val="Heading3"/>
      </w:pPr>
      <w:r>
        <w:t xml:space="preserve">16.1 Paper-level hypotheses (predictive claim)</w:t>
      </w:r>
    </w:p>
    <w:p>
      <w:pPr>
        <w:pStyle w:val="BodyText"/>
      </w:pPr>
      <w:r>
        <w:rPr>
          <w:b/>
          <w:bCs/>
        </w:rPr>
        <w:t xml:space="preserve">P1. Recognized progress is enriched for causal abstraction.</w:t>
      </w:r>
      <w:r>
        <w:t xml:space="preserve"> Among works in the cohort, those later recognized as major progress will show higher causal-abstraction commitment at publication than comparable contemporaneous works, after adjusting for era and field. Because progress can be distributed across a lineage, this paper-level signal is expected to be attenuated; the test must allow lineage-level credit rather than assuming all progress is concentrated in the originating paper.</w:t>
      </w:r>
    </w:p>
    <w:p>
      <w:pPr>
        <w:pStyle w:val="BodyText"/>
      </w:pPr>
      <w:r>
        <w:rPr>
          <w:b/>
          <w:bCs/>
        </w:rPr>
        <w:t xml:space="preserve">P2. Prestige and progress diverge.</w:t>
      </w:r>
      <w:r>
        <w:t xml:space="preserve"> At a fixed time, prestige and causal-abstraction commitment are only weakly related: high-prestige works include many with strong statistical dependence and weak abstraction commitment. This is stated cross-sectionally, within era, on purpose. Comparing recognized older work to unfiltered recent work would confound the claim with survivorship, since the older sample is a retrospectively filtered set of winners.</w:t>
      </w:r>
    </w:p>
    <w:p>
      <w:pPr>
        <w:pStyle w:val="BodyText"/>
      </w:pPr>
      <w:r>
        <w:rPr>
          <w:b/>
          <w:bCs/>
        </w:rPr>
        <w:t xml:space="preserve">P3. Causal abstraction predicts the kind of uptake.</w:t>
      </w:r>
      <w:r>
        <w:t xml:space="preserve"> Higher causal-abstraction commitment predicts mechanistic, intervention, ontological, and transport uptake, and citation durability — but not necessarily citation volume, which may be flat or inversely related. Predictor and outcome must be measured independently.</w:t>
      </w:r>
    </w:p>
    <w:p>
      <w:pPr>
        <w:pStyle w:val="BodyText"/>
      </w:pPr>
      <w:r>
        <w:rPr>
          <w:b/>
          <w:bCs/>
        </w:rPr>
        <w:t xml:space="preserve">P4. Statistical dependence predicts fragility unless converted.</w:t>
      </w:r>
      <w:r>
        <w:t xml:space="preserve"> Higher statistical-inductivist dependence predicts more fragile downstream trajectories, except where conversion, as defined independently in Section 14, is detected. This hypothesis is testable only because conversion is defined and timestamped independently of the outcome. Absent that independent detection, the hypothesis is unfalsifiable and must not be asserted.</w:t>
      </w:r>
    </w:p>
    <w:p>
      <w:pPr>
        <w:pStyle w:val="BodyText"/>
      </w:pPr>
      <w:r>
        <w:rPr>
          <w:b/>
          <w:bCs/>
        </w:rPr>
        <w:t xml:space="preserve">P5. Two routes to progress, not one special case.</w:t>
      </w:r>
      <w:r>
        <w:t xml:space="preserve"> Tool and infrastructure works may carry low direct causal-abstraction commitment yet high progress value by enabling others’ conversion. Rather than quarantining them as a special case, model progress value along two dimensions — direct causal commitment and conversion-enablement — and test whether enablement predicts durable uptake in the works a tool makes possible.</w:t>
      </w:r>
    </w:p>
    <w:p>
      <w:pPr>
        <w:pStyle w:val="Heading3"/>
      </w:pPr>
      <w:r>
        <w:t xml:space="preserve">16.2 Population-level hypotheses (temporal claim)</w:t>
      </w:r>
    </w:p>
    <w:p>
      <w:pPr>
        <w:pStyle w:val="BodyText"/>
      </w:pPr>
      <w:r>
        <w:t xml:space="preserve">The temporal hypotheses divide into a primary tier, tested directly on the blinded, era-stratified coded cohort and independent of any specific cause, and a secondary tier that tests the timing of machine-learning adoption as one driver. Each field is judged against its own historical trend; predictor and outcome are measured independently.</w:t>
      </w:r>
    </w:p>
    <w:p>
      <w:pPr>
        <w:pStyle w:val="BodyText"/>
      </w:pPr>
      <w:r>
        <w:rPr>
          <w:i/>
          <w:iCs/>
        </w:rPr>
        <w:t xml:space="preserve">Primary tier (mechanism-agnostic).</w:t>
      </w:r>
    </w:p>
    <w:p>
      <w:pPr>
        <w:pStyle w:val="BodyText"/>
      </w:pPr>
      <w:r>
        <w:rPr>
          <w:b/>
          <w:bCs/>
        </w:rPr>
        <w:t xml:space="preserve">TP1. Orientation has drifted toward induction.</w:t>
      </w:r>
      <w:r>
        <w:t xml:space="preserve"> Within comparable venues over time, the coded statistical-inductivist dependence of output rises and per-dimension causal-abstraction commitment falls. This is read directly off the blinded dependence and commitment time series on the era-stratified cohort and is the most direct form of the temporal claim.</w:t>
      </w:r>
    </w:p>
    <w:p>
      <w:pPr>
        <w:pStyle w:val="BodyText"/>
      </w:pPr>
      <w:r>
        <w:rPr>
          <w:b/>
          <w:bCs/>
        </w:rPr>
        <w:t xml:space="preserve">TP2. The conversion rate has fallen.</w:t>
      </w:r>
      <w:r>
        <w:t xml:space="preserve"> Across comparable venues over time, the fraction of statistical regularities converted into tested causal abstractions within a fixed window has declined. This, and not any paper-level contrast, is the deceleration claim proper.</w:t>
      </w:r>
    </w:p>
    <w:p>
      <w:pPr>
        <w:pStyle w:val="BodyText"/>
      </w:pPr>
      <w:r>
        <w:rPr>
          <w:b/>
          <w:bCs/>
        </w:rPr>
        <w:t xml:space="preserve">TP3. The reward balance has shifted.</w:t>
      </w:r>
      <w:r>
        <w:t xml:space="preserve"> High-prestige venues, funding, and rapid citation increasingly favor statistical-discovery outputs over causal-abstraction outputs. Without this, causal abstraction could predict durability while institutions still reward it adequately, and the proposed deceleration mechanism would not hold.</w:t>
      </w:r>
    </w:p>
    <w:p>
      <w:pPr>
        <w:pStyle w:val="BodyText"/>
      </w:pPr>
      <w:r>
        <w:rPr>
          <w:b/>
          <w:bCs/>
        </w:rPr>
        <w:t xml:space="preserve">TP4. Deceleration tracks paradigm orientation across fields (central discriminating prediction).</w:t>
      </w:r>
      <w:r>
        <w:t xml:space="preserve"> A field’s deceleration is predicted by its coded paradigm dominance — its aggregate statistical-inductivist versus causal-Popperian mix — and not by its statistical intensity or its age. Inductivist-dominated fields (computational biology and other machine-learning-reshaped fields, and the statistically oriented subfields of physics) should decelerate more than fields of comparable maturity that remain causal-Popperian. Heavy-statistics but structure-driven fields, such as prediction-and-severe-test particle physics, serve as controls and should not show the signature. This is the theory’s sharpest contrast against burden-of-knowledge accounts, which predict no ordering by paradigm.</w:t>
      </w:r>
    </w:p>
    <w:p>
      <w:pPr>
        <w:pStyle w:val="BodyText"/>
      </w:pPr>
      <w:r>
        <w:rPr>
          <w:b/>
          <w:bCs/>
        </w:rPr>
        <w:t xml:space="preserve">TP5. Downstream burden rises with unconverted output.</w:t>
      </w:r>
      <w:r>
        <w:t xml:space="preserve"> As statistical-discovery output grows relative to conversion, literatures generate proportionally more correction, contradiction, and failed-transport work. This burden is the experienced form of deceleration.</w:t>
      </w:r>
    </w:p>
    <w:p>
      <w:pPr>
        <w:pStyle w:val="BodyText"/>
      </w:pPr>
      <w:r>
        <w:rPr>
          <w:i/>
          <w:iCs/>
        </w:rPr>
        <w:t xml:space="preserve">Secondary tier (identification of one driver).</w:t>
      </w:r>
    </w:p>
    <w:p>
      <w:pPr>
        <w:pStyle w:val="BodyText"/>
      </w:pPr>
      <w:r>
        <w:rPr>
          <w:b/>
          <w:bCs/>
        </w:rPr>
        <w:t xml:space="preserve">TS1. Where it occurred, machine-learning penetration precedes the orientation shift.</w:t>
      </w:r>
      <w:r>
        <w:t xml:space="preserve"> In fields that adopted inductivist machine-learning methods, the onset of orientation drift and deceleration follows, rather than precedes, machine-learning penetration. The staggered timing of adoption across fields supplies the test. This hypothesis isolates machine learning as one driver; it is not the temporal claim. A drift that precedes adoption, or is uniform with respect to it, refutes TS1 and points either to reverse causation or, more importantly, to an older, non-machine-learning source of inductivist dominance, both of which are consistent with TP1 through TP5. Failing TS1 therefore bounds the role of machine learning without disturbing the temporal claim.</w:t>
      </w:r>
    </w:p>
    <w:p>
      <w:pPr>
        <w:pStyle w:val="Heading2"/>
      </w:pPr>
      <w:r>
        <w:t xml:space="preserve">17. Refutation conditions</w:t>
      </w:r>
    </w:p>
    <w:p>
      <w:pPr>
        <w:pStyle w:val="BodyText"/>
      </w:pPr>
      <w:r>
        <w:t xml:space="preserve">A theory that defends severe testing must submit to it. The following observations would count against the theory, and stating them in advance is what distinguishes it from an unfalsifiable narrative.</w:t>
      </w:r>
    </w:p>
    <w:p>
      <w:pPr>
        <w:pStyle w:val="BodyText"/>
        <w:numPr>
          <w:ilvl w:val="0"/>
          <w:numId w:val="2"/>
        </w:numPr>
      </w:pPr>
      <w:r>
        <w:t xml:space="preserve">The predictive claim fails if causal-abstraction commitment does not predict durable, kind-specific uptake once era and field are controlled.</w:t>
      </w:r>
    </w:p>
    <w:p>
      <w:pPr>
        <w:pStyle w:val="BodyText"/>
        <w:numPr>
          <w:ilvl w:val="0"/>
          <w:numId w:val="2"/>
        </w:numPr>
      </w:pPr>
      <w:r>
        <w:t xml:space="preserve">The fragility hypothesis (P4) fails if high statistical-dependence works prove durable at the same rate as others without any independently detected conversion.</w:t>
      </w:r>
    </w:p>
    <w:p>
      <w:pPr>
        <w:pStyle w:val="BodyText"/>
        <w:numPr>
          <w:ilvl w:val="0"/>
          <w:numId w:val="2"/>
        </w:numPr>
      </w:pPr>
      <w:r>
        <w:t xml:space="preserve">The temporal claim fails if its primary tier does not hold: if coded orientation has not drifted toward induction (TP1), if the conversion rate and reward balance have not shifted over time (TP2, TP3), or if rising statistical output is matched by proportional conversion.</w:t>
      </w:r>
    </w:p>
    <w:p>
      <w:pPr>
        <w:pStyle w:val="BodyText"/>
        <w:numPr>
          <w:ilvl w:val="0"/>
          <w:numId w:val="2"/>
        </w:numPr>
      </w:pPr>
      <w:r>
        <w:t xml:space="preserve">The central field-differential prediction (TP4) fails if deceleration is uniform across the paradigm gradient, or if it tracks field age or statistical intensity rather than coded paradigm orientation — in particular, if a heavy-statistics but causal-Popperian control field such as structure-driven particle physics decelerates as much as the inductivist fields.</w:t>
      </w:r>
    </w:p>
    <w:p>
      <w:pPr>
        <w:pStyle w:val="BodyText"/>
        <w:numPr>
          <w:ilvl w:val="0"/>
          <w:numId w:val="2"/>
        </w:numPr>
      </w:pPr>
      <w:r>
        <w:t xml:space="preserve">The machine-learning-timing hypothesis (TS1) fails if orientation drift does not follow machine-learning penetration in time, or if it precedes adoption. Failure of TS1 does not refute the temporal claim; it bounds the role of machine learning as a driver and is consistent with older, non-machine-learning sources of inductivist dominance. Only a joint failure of the primary tier refutes deceleration itself.</w:t>
      </w:r>
    </w:p>
    <w:p>
      <w:pPr>
        <w:pStyle w:val="Heading2"/>
      </w:pPr>
      <w:r>
        <w:t xml:space="preserve">18. Expected contribution</w:t>
      </w:r>
    </w:p>
    <w:p>
      <w:pPr>
        <w:pStyle w:val="BodyText"/>
      </w:pPr>
      <w:r>
        <w:t xml:space="preserve">The paper would make four contributions.</w:t>
      </w:r>
    </w:p>
    <w:p>
      <w:pPr>
        <w:pStyle w:val="BodyText"/>
      </w:pPr>
      <w:r>
        <w:t xml:space="preserve">First, it would clarify a philosophical distinction:</w:t>
      </w:r>
    </w:p>
    <w:p>
      <w:pPr>
        <w:pStyle w:val="BodyText"/>
        <w:spacing w:after="80" w:before="80"/>
        <w:ind w:left="720"/>
      </w:pPr>
      <w:r>
        <w:rPr>
          <w:i/>
          <w:iCs/>
        </w:rPr>
        <w:t xml:space="preserve">Statistical success and scientific progress are not the same epistemic object.</w:t>
      </w:r>
    </w:p>
    <w:p>
      <w:pPr>
        <w:pStyle w:val="BodyText"/>
      </w:pPr>
      <w:r>
        <w:t xml:space="preserve">Second, it would propose an empirical measure:</w:t>
      </w:r>
    </w:p>
    <w:p>
      <w:pPr>
        <w:pStyle w:val="BodyText"/>
        <w:spacing w:after="80" w:before="80"/>
        <w:ind w:left="720"/>
      </w:pPr>
      <w:r>
        <w:rPr>
          <w:i/>
          <w:iCs/>
        </w:rPr>
        <w:t xml:space="preserve">Causal-abstraction commitment as a measurable feature of scientific papers, paired with an independently measured conversion step.</w:t>
      </w:r>
    </w:p>
    <w:p>
      <w:pPr>
        <w:pStyle w:val="BodyText"/>
      </w:pPr>
      <w:r>
        <w:t xml:space="preserve">Third, it would connect philosophy of science to science-of-science:</w:t>
      </w:r>
    </w:p>
    <w:p>
      <w:pPr>
        <w:pStyle w:val="BodyText"/>
        <w:spacing w:after="80" w:before="80"/>
        <w:ind w:left="720"/>
      </w:pPr>
      <w:r>
        <w:rPr>
          <w:i/>
          <w:iCs/>
        </w:rPr>
        <w:t xml:space="preserve">Decelerating progress may reflect not only growing complexity or bad incentives, but a shift in the kinds of epistemic outputs scientific institutions reward.</w:t>
      </w:r>
    </w:p>
    <w:p>
      <w:pPr>
        <w:pStyle w:val="BodyText"/>
      </w:pPr>
      <w:r>
        <w:t xml:space="preserve">Fourth, it would separate three claims that are usually conflated — a definitional claim about what progress is, a paper-level predictive claim about the value of causal abstraction, and a population-level temporal claim about deceleration — and would test the temporal claim directly rather than inferring it from the value of causal abstraction.</w:t>
      </w:r>
    </w:p>
    <w:p>
      <w:pPr>
        <w:pStyle w:val="BodyText"/>
      </w:pPr>
      <w:r>
        <w:t xml:space="preserve">The goal is not to displace statistical science. The goal is to restore a hierarchy:</w:t>
      </w:r>
    </w:p>
    <w:p>
      <w:pPr>
        <w:pStyle w:val="BodyText"/>
        <w:spacing w:after="80" w:before="80"/>
        <w:ind w:left="720"/>
      </w:pPr>
      <w:r>
        <w:rPr>
          <w:i/>
          <w:iCs/>
        </w:rPr>
        <w:t xml:space="preserve">statistical regularities are candidates for knowledge; causal abstractions turn candidates into explanations; severe criticism turns explanations into durable science.</w:t>
      </w:r>
    </w:p>
    <w:p>
      <w:pPr>
        <w:pStyle w:val="Heading2"/>
      </w:pPr>
      <w:r>
        <w:t xml:space="preserve">19. Possible paper structure</w:t>
      </w:r>
    </w:p>
    <w:p>
      <w:pPr>
        <w:pStyle w:val="BodyText"/>
      </w:pPr>
      <w:r>
        <w:rPr>
          <w:b/>
          <w:bCs/>
        </w:rPr>
        <w:t xml:space="preserve">Introduction. </w:t>
      </w:r>
      <w:r>
        <w:t xml:space="preserve">State the problem of scientific deceleration, introduce the statistical-inductivist versus causal-Popperian distinction, argue that the replication crisis and the progress slowdown may share a common epistemic mechanism, and present the empirical question.</w:t>
      </w:r>
    </w:p>
    <w:p>
      <w:pPr>
        <w:pStyle w:val="BodyText"/>
      </w:pPr>
      <w:r>
        <w:rPr>
          <w:b/>
          <w:bCs/>
        </w:rPr>
        <w:t xml:space="preserve">Section 1: Two paradigms of knowledge growth. </w:t>
      </w:r>
      <w:r>
        <w:t xml:space="preserve">Define each paradigm, explain why the distinction is not anti-statistical, discuss the problem of induction and Popper’s alternative, and introduce the data-centered versus process-centered characterization.</w:t>
      </w:r>
    </w:p>
    <w:p>
      <w:pPr>
        <w:pStyle w:val="BodyText"/>
      </w:pPr>
      <w:r>
        <w:rPr>
          <w:b/>
          <w:bCs/>
        </w:rPr>
        <w:t xml:space="preserve">Section 2: From replication crisis to progress slowdown. </w:t>
      </w:r>
      <w:r>
        <w:t xml:space="preserve">Argue that many replication failures arise from statistical regularities lacking causal abstraction, explain why fields can produce more papers while producing less durable structure, and discuss computational biology as a central case.</w:t>
      </w:r>
    </w:p>
    <w:p>
      <w:pPr>
        <w:pStyle w:val="BodyText"/>
      </w:pPr>
      <w:r>
        <w:rPr>
          <w:b/>
          <w:bCs/>
        </w:rPr>
        <w:t xml:space="preserve">Section 3: Three claims. </w:t>
      </w:r>
      <w:r>
        <w:t xml:space="preserve">Separate the constitutive, predictive, and temporal claims, and make explicit which level each later analysis addresses.</w:t>
      </w:r>
    </w:p>
    <w:p>
      <w:pPr>
        <w:pStyle w:val="BodyText"/>
      </w:pPr>
      <w:r>
        <w:rPr>
          <w:b/>
          <w:bCs/>
        </w:rPr>
        <w:t xml:space="preserve">Section 4: Measuring causal abstraction and conversion. </w:t>
      </w:r>
      <w:r>
        <w:t xml:space="preserve">Introduce the Causal-Abstraction Commitment Score, the Statistical-Inductivist Dependence Score, and the independent, timestamped definition of conversion, with coding rules and examples.</w:t>
      </w:r>
    </w:p>
    <w:p>
      <w:pPr>
        <w:pStyle w:val="BodyText"/>
      </w:pPr>
      <w:r>
        <w:rPr>
          <w:b/>
          <w:bCs/>
        </w:rPr>
        <w:t xml:space="preserve">Section 5: Cohort construction. </w:t>
      </w:r>
      <w:r>
        <w:t xml:space="preserve">Describe the outcome-independent field × era × venue-tier frame, the selection of fields spanning the paradigm gradient (with a heavy-statistics causal-Popperian control), the primary mechanism-agnostic measurement of orientation drift over time with the staggered machine-learning-penetration design as a secondary identification of one driver, and the stratified probability sampling that avoids citation-weighting.</w:t>
      </w:r>
    </w:p>
    <w:p>
      <w:pPr>
        <w:pStyle w:val="BodyText"/>
      </w:pPr>
      <w:r>
        <w:rPr>
          <w:b/>
          <w:bCs/>
        </w:rPr>
        <w:t xml:space="preserve">Section 6: Paper-level predictive analysis. </w:t>
      </w:r>
      <w:r>
        <w:t xml:space="preserve">Test the paper-level hypotheses, keeping predictor and outcome independent and crediting progress at the lineage level where appropriate.</w:t>
      </w:r>
    </w:p>
    <w:p>
      <w:pPr>
        <w:pStyle w:val="BodyText"/>
      </w:pPr>
      <w:r>
        <w:rPr>
          <w:b/>
          <w:bCs/>
        </w:rPr>
        <w:t xml:space="preserve">Section 7: Population-level temporal analysis. </w:t>
      </w:r>
      <w:r>
        <w:t xml:space="preserve">Test the primary mechanism-agnostic tier — orientation drift, the conversion-rate decline, the reward shift, the field-differential prediction and its controls, and downstream burden — and then the secondary machine-learning-penetration timing as identification of one driver; these are the analyses that actually bear on deceleration.</w:t>
      </w:r>
    </w:p>
    <w:p>
      <w:pPr>
        <w:pStyle w:val="BodyText"/>
      </w:pPr>
      <w:r>
        <w:rPr>
          <w:b/>
          <w:bCs/>
        </w:rPr>
        <w:t xml:space="preserve">Discussion. </w:t>
      </w:r>
      <w:r>
        <w:t xml:space="preserve">Interpret findings, state limitations and refutation conditions, and draw implications for peer review, funding, computational biology, and scientific training, emphasizing that statistical methods remain essential but insufficient.</w:t>
      </w:r>
    </w:p>
    <w:p>
      <w:pPr>
        <w:pStyle w:val="Heading2"/>
      </w:pPr>
      <w:r>
        <w:t xml:space="preserve">20. Central formulations</w:t>
      </w:r>
    </w:p>
    <w:p>
      <w:pPr>
        <w:pStyle w:val="BodyText"/>
      </w:pPr>
      <w:r>
        <w:t xml:space="preserve">The paper’s central formulation could be:</w:t>
      </w:r>
    </w:p>
    <w:p>
      <w:pPr>
        <w:pStyle w:val="BodyText"/>
        <w:spacing w:after="80" w:before="80"/>
        <w:ind w:left="720"/>
      </w:pPr>
      <w:r>
        <w:rPr>
          <w:i/>
          <w:iCs/>
        </w:rPr>
        <w:t xml:space="preserve">The statistical-inductivist paradigm excels at detecting and certifying regularities. The causal-Popperian paradigm excels at turning regularities into explanations. Scientific progress slows when the first activity expands faster than the second.</w:t>
      </w:r>
    </w:p>
    <w:p>
      <w:pPr>
        <w:pStyle w:val="BodyText"/>
      </w:pPr>
      <w:r>
        <w:t xml:space="preserve">A more compact version:</w:t>
      </w:r>
    </w:p>
    <w:p>
      <w:pPr>
        <w:pStyle w:val="BodyText"/>
        <w:spacing w:after="80" w:before="80"/>
        <w:ind w:left="720"/>
      </w:pPr>
      <w:r>
        <w:t>Science decelerates when it becomes better at producing certified regularities than at building refutable causal abstractions.</w:t>
      </w:r>
    </w:p>
    <w:p>
      <w:pPr>
        <w:pStyle w:val="BodyText"/>
      </w:pPr>
      <w:r>
        <w:t xml:space="preserve">A three-claim version:</w:t>
      </w:r>
    </w:p>
    <w:p>
      <w:pPr>
        <w:pStyle w:val="BodyText"/>
        <w:spacing w:after="80" w:before="80"/>
        <w:ind w:left="720"/>
      </w:pPr>
      <w:r>
        <w:t>Explanatory progress is the conversion of regularity into criticized causal abstraction; abstraction commitment predicts durable uptake in individual works; and as institutions reward regularity over abstraction, the conversion rate falls and progress decelerates. The first claim is definitional, the second is about works, the third is about populations over time.</w:t>
      </w:r>
    </w:p>
    <w:p>
      <w:pPr>
        <w:pStyle w:val="BodyText"/>
      </w:pPr>
      <w:r>
        <w:t xml:space="preserve">A unit-of-analysis version:</w:t>
      </w:r>
    </w:p>
    <w:p>
      <w:pPr>
        <w:pStyle w:val="BodyText"/>
        <w:spacing w:after="80" w:before="80"/>
        <w:ind w:left="720"/>
      </w:pPr>
      <w:r>
        <w:rPr>
          <w:i/>
          <w:iCs/>
        </w:rPr>
        <w:t xml:space="preserve">The value of causal abstraction is a property of works; the deceleration of progress is a property of literatures over time. Confirming the first does not establish the second.</w:t>
      </w:r>
    </w:p>
    <w:p>
      <w:pPr>
        <w:pStyle w:val="BodyText"/>
      </w:pPr>
      <w:r>
        <w:t xml:space="preserve">A computational biology version:</w:t>
      </w:r>
    </w:p>
    <w:p>
      <w:pPr>
        <w:pStyle w:val="BodyText"/>
        <w:spacing w:after="80" w:before="80"/>
        <w:ind w:left="720"/>
      </w:pPr>
      <w:r>
        <w:rPr>
          <w:i/>
          <w:iCs/>
        </w:rPr>
        <w:t xml:space="preserve">A computational biology result becomes a scientific discovery when its statistical or predictive success is tied to a causal abstraction: an account of the biological structure generating the signal, the claim’s scope of validity, and its intervention-relevant consequences.</w:t>
      </w:r>
    </w:p>
    <w:p>
      <w:pPr>
        <w:pStyle w:val="BodyText"/>
      </w:pPr>
      <w:r>
        <w:t xml:space="preserve">A data/process version:</w:t>
      </w:r>
    </w:p>
    <w:p>
      <w:pPr>
        <w:pStyle w:val="BodyText"/>
        <w:spacing w:after="80" w:before="80"/>
        <w:ind w:left="720"/>
      </w:pPr>
      <w:r>
        <w:rPr>
          <w:i/>
          <w:iCs/>
        </w:rPr>
        <w:t xml:space="preserve">The statistical-inductivist paradigm is data-centered: it asks what can be inferred from observations. The causal-Popperian paradigm is process-centered: it asks what data-generating structure produced the observations, what else that structure implies, and what tests could reveal that the proposed structure is wrong.</w:t>
      </w:r>
    </w:p>
    <w:p>
      <w:pPr>
        <w:pStyle w:val="BodyText"/>
      </w:pPr>
      <w:r>
        <w:t xml:space="preserve">A field-differential version:</w:t>
      </w:r>
    </w:p>
    <w:p>
      <w:pPr>
        <w:pStyle w:val="BodyText"/>
        <w:spacing w:after="80" w:before="80"/>
        <w:ind w:left="720"/>
      </w:pPr>
      <w:r>
        <w:rPr>
          <w:i/>
          <w:iCs/>
        </w:rPr>
        <w:t xml:space="preserve">If the theory is right, progress should have slowed most in the fields that most fully adopted the statistical-inductivist paradigm — computational biology and the machine-learning-reshaped sciences — and least in fields that kept statistics subordinate to causal structure, even when those fields use just as much statistics.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60" w:line="276"/>
    </w:pPr>
    <w:rPr>
      <w:rFonts w:ascii="Arial" w:cs="Arial" w:eastAsia="Arial" w:hAnsi="Arial"/>
      <w:sz w:val="22"/>
      <w:szCs w:val="22"/>
    </w:rPr>
  </w:style>
  <w:style w:type="paragraph" w:styleId="Heading1">
    <w:name w:val="Heading 1"/>
    <w:basedOn w:val="Normal"/>
    <w:next w:val="BodyText"/>
    <w:qFormat/>
    <w:pPr>
      <w:spacing w:after="240" w:before="240"/>
      <w:outlineLvl w:val="0"/>
    </w:pPr>
    <w:rPr>
      <w:rFonts w:ascii="Arial" w:cs="Arial" w:eastAsia="Arial" w:hAnsi="Arial"/>
      <w:b/>
      <w:bCs/>
      <w:sz w:val="34"/>
      <w:szCs w:val="34"/>
    </w:rPr>
  </w:style>
  <w:style w:type="paragraph" w:styleId="Heading2">
    <w:name w:val="Heading 2"/>
    <w:basedOn w:val="Normal"/>
    <w:next w:val="BodyText"/>
    <w:qFormat/>
    <w:pPr>
      <w:spacing w:after="140" w:before="280"/>
      <w:outlineLvl w:val="1"/>
    </w:pPr>
    <w:rPr>
      <w:rFonts w:ascii="Arial" w:cs="Arial" w:eastAsia="Arial" w:hAnsi="Arial"/>
      <w:b/>
      <w:bCs/>
      <w:sz w:val="27"/>
      <w:szCs w:val="27"/>
    </w:rPr>
  </w:style>
  <w:style w:type="paragraph" w:styleId="Heading3">
    <w:name w:val="Heading 3"/>
    <w:basedOn w:val="Normal"/>
    <w:next w:val="BodyText"/>
    <w:qFormat/>
    <w:pPr>
      <w:spacing w:after="100" w:before="200"/>
      <w:outlineLvl w:val="2"/>
    </w:pPr>
    <w:rPr>
      <w:rFonts w:ascii="Arial" w:cs="Arial" w:eastAsia="Arial" w:hAnsi="Arial"/>
      <w:b/>
      <w:bCs/>
      <w:i/>
      <w:i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2026-06-20T00:02:54.745Z</dcterms:created>
  <dcterms:modified xsi:type="dcterms:W3CDTF">2026-06-20T00:02:54.745Z</dcterms:modified>
</cp:coreProperties>
</file>

<file path=docProps/custom.xml><?xml version="1.0" encoding="utf-8"?>
<Properties xmlns="http://schemas.openxmlformats.org/officeDocument/2006/custom-properties" xmlns:vt="http://schemas.openxmlformats.org/officeDocument/2006/docPropsVTypes"/>
</file>