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Semantic Navigation of Correspondence</w:t>
      </w:r>
    </w:p>
    <w:p>
      <w:r>
        <w:rPr>
          <w:i/>
        </w:rPr>
        <w:t>C-SQD  |  Architectural memorandum</w:t>
      </w:r>
    </w:p>
    <w:p>
      <w:pPr>
        <w:pStyle w:val="Heading1"/>
      </w:pPr>
      <w:r>
        <w:t>1. Motivation: correspondence as accumulated knowledge</w:t>
      </w:r>
    </w:p>
    <w:p>
      <w:r>
        <w:t>Correspondence accumulates arguments, decisions, proposals, objections, and revisions. Conventional mail interfaces organize it mainly by sender, date, and thread. Keyword search can recover a known phrase, but is less effective when a user remembers an idea without remembering how it was expressed.</w:t>
      </w:r>
    </w:p>
    <w:p>
      <w:r>
        <w:t>cs-mail should make this accumulated knowledge discoverable and navigable: users ought to find related ideas, recover their original context, follow their development, and deliberately incorporate earlier material into new correspondence.</w:t>
      </w:r>
    </w:p>
    <w:p>
      <w:pPr>
        <w:pStyle w:val="Heading1"/>
      </w:pPr>
      <w:r>
        <w:t>2. Three complementary representations</w:t>
      </w:r>
    </w:p>
    <w:p>
      <w:r>
        <w:t>The system should combine three forms of retrieval rather than expecting any one to do everything:</w:t>
      </w:r>
    </w:p>
    <w:p>
      <w:pPr>
        <w:pStyle w:val="ListBullet"/>
      </w:pPr>
      <w:r>
        <w:rPr>
          <w:b/>
        </w:rPr>
        <w:t xml:space="preserve">Structural: </w:t>
      </w:r>
      <w:r>
        <w:t>Relationships, conversations, participants, messages, references, provenance, and permissions.</w:t>
      </w:r>
    </w:p>
    <w:p>
      <w:pPr>
        <w:pStyle w:val="ListBullet"/>
      </w:pPr>
      <w:r>
        <w:rPr>
          <w:b/>
        </w:rPr>
        <w:t xml:space="preserve">Lexical: </w:t>
      </w:r>
      <w:r>
        <w:t>Exact phrases, names, terms, and identifiers.</w:t>
      </w:r>
    </w:p>
    <w:p>
      <w:pPr>
        <w:pStyle w:val="ListBullet"/>
      </w:pPr>
      <w:r>
        <w:rPr>
          <w:b/>
        </w:rPr>
        <w:t xml:space="preserve">Semantic: </w:t>
      </w:r>
      <w:r>
        <w:t>Conceptually related passages expressed in different words.</w:t>
      </w:r>
    </w:p>
    <w:p>
      <w:r>
        <w:t>Semantic similarity proposes useful connections; it does not establish that two passages share an actual referential, historical, or argumentative relationship. cs-mail should preserve that distinction.</w:t>
      </w:r>
    </w:p>
    <w:p>
      <w:pPr>
        <w:pStyle w:val="Heading1"/>
      </w:pPr>
      <w:r>
        <w:t>3. Local indexing across correspondence formats</w:t>
      </w:r>
    </w:p>
    <w:p>
      <w:r>
        <w:t>Messages may be plain text, rich text, LaTeX source, HTML, or another supported format. Regardless of format, the client converts content into an internal structured representation for indexing. This representation is an internal processing substrate, not a required user-facing message format; users remain free to send and view HTML.</w:t>
      </w:r>
    </w:p>
    <w:p>
      <w:r>
        <w:t>A compact embedding model then generates semantic representations of meaningful content units, such as paragraphs or short passages. Indexing happens incrementally, in the background, on the user’s device. Newly received or sent messages remain available immediately, even before indexing finishes. Initial imports can be processed progressively.</w:t>
      </w:r>
    </w:p>
    <w:p>
      <w:r>
        <w:t>Embeddings, full-text indexes, and structural metadata can coexist in a local, encrypted database. Neither generation nor search requires C-SQD to receive message plaintext.</w:t>
      </w:r>
    </w:p>
    <w:p>
      <w:pPr>
        <w:pStyle w:val="Heading1"/>
      </w:pPr>
      <w:r>
        <w:t>4. Encrypted synchronization between devices</w:t>
      </w:r>
    </w:p>
    <w:p>
      <w:r>
        <w:t>Locally generated embeddings and their associated metadata can be encrypted on the device and synchronized through C-SQD’s servers, so other authorized devices can reuse the index without processing the entire history again. Encryption keys must remain outside the provider’s access. Embeddings are sensitive derived data and must receive protection comparable to message content.</w:t>
      </w:r>
    </w:p>
    <w:p>
      <w:r>
        <w:t>Stable content identifiers, embedding-model and preprocessing versions, and reliable update and deletion propagation are necessary for correct synchronization. Devices should be able to regenerate index entries when versions differ or local data becomes stale.</w:t>
      </w:r>
    </w:p>
    <w:p>
      <w:pPr>
        <w:pStyle w:val="Heading1"/>
      </w:pPr>
      <w:r>
        <w:t>5. From search results to navigable intellectual history</w:t>
      </w:r>
    </w:p>
    <w:p>
      <w:r>
        <w:t>Imagine composing a research message and wanting to revisit an earlier objection, find a related proposal from another collaborator, and understand what changed afterward. Semantic retrieval can suggest candidate passages. The correspondence structure can then expose the surrounding conversation, participants, dates, explicit references, quoted passages, and subsequent replies.</w:t>
      </w:r>
    </w:p>
    <w:p>
      <w:r>
        <w:t>A useful retrieval workflow is: constrain the search to accessible correspondence; combine lexical and semantic candidate retrieval; expand candidates through actual conversation and reference links; present the relevant context and provenance; then apply reuse permissions before quotation, reference, or sharing.</w:t>
      </w:r>
    </w:p>
    <w:p>
      <w:r>
        <w:t>Results should distinguish explicit historical connections from model-suggested resemblance. The interface can let users explore these connections and compose alongside them, without silently transporting material between relationships. The goal is a navigable intellectual history grounded in actual correspondence, not simply an AI-ranked list of emails.</w:t>
      </w:r>
    </w:p>
    <w:p>
      <w:pPr>
        <w:pStyle w:val="Heading1"/>
      </w:pPr>
      <w:r>
        <w:t>6. Permissions and enduring commitments</w:t>
      </w:r>
    </w:p>
    <w:p>
      <w:pPr>
        <w:pStyle w:val="ListBullet"/>
      </w:pPr>
      <w:r>
        <w:t>Local semantic indexing does not require provider access to plaintext messages or plaintext embeddings.</w:t>
      </w:r>
    </w:p>
    <w:p>
      <w:pPr>
        <w:pStyle w:val="ListBullet"/>
      </w:pPr>
      <w:r>
        <w:t>Finding or viewing content does not itself authorize quotation, reference, or sharing beyond the applicable conversation policy.</w:t>
      </w:r>
    </w:p>
    <w:p>
      <w:pPr>
        <w:pStyle w:val="ListBullet"/>
      </w:pPr>
      <w:r>
        <w:t>Index entries remain linked to identifiable source passages; edits, deletions, and access changes must be reflected in retrieval.</w:t>
      </w:r>
    </w:p>
    <w:p>
      <w:pPr>
        <w:pStyle w:val="ListBullet"/>
      </w:pPr>
      <w:r>
        <w:t>Indexing stays separate from message delivery and from the format used to compose or view correspondence.</w:t>
      </w:r>
    </w:p>
    <w:p>
      <w:pPr>
        <w:pStyle w:val="ListBullet"/>
      </w:pPr>
      <w:r>
        <w:t>External content and behavior-disclosure protections apply to rendered messages independently of the semantic indexing process.</w:t>
      </w:r>
    </w:p>
    <w:p>
      <w:r>
        <w:t>Together, local semantic indexing and explicit correspondence structure could let cs-mail preserve an accessible history of users’ intellectual activity while keeping its provider unable to read that history.</w:t>
      </w:r>
    </w:p>
    <w:p>
      <w:pPr>
        <w:pStyle w:val="AppendixTitle"/>
        <w:pageBreakBefore/>
      </w:pPr>
      <w:r>
        <w:t>Appendix A Recommended design decisions</w:t>
      </w:r>
    </w:p>
    <w:p>
      <w:pPr>
        <w:pStyle w:val="AppendixSmall"/>
        <w:spacing w:after="80"/>
      </w:pPr>
      <w:r>
        <w:t>25 October 2026</w:t>
      </w:r>
    </w:p>
    <w:p>
      <w:pPr>
        <w:pStyle w:val="AppendixBody"/>
      </w:pPr>
      <w:r>
        <w:t>This appendix distinguishes confirmed scope, recommended defaults and decisions requiring validation before implementation.</w:t>
      </w:r>
    </w:p>
    <w:p>
      <w:pPr>
        <w:pStyle w:val="AppendixHeading"/>
      </w:pPr>
      <w:r>
        <w:t>A1 Confirmed scope and member experience</w:t>
      </w:r>
    </w:p>
    <w:p>
      <w:pPr>
        <w:pStyle w:val="AppendixBody"/>
      </w:pPr>
      <w:r>
        <w:t>One system should support searching for an idea, discovering related passages, following an argument through correspondence, and consulting earlier material while composing. The content scope includes native and external correspondence, sent mail, private drafts, attachments, quoted duplicates, multiple languages and mathematical content.</w:t>
      </w:r>
    </w:p>
    <w:p>
      <w:pPr>
        <w:pStyle w:val="AppendixBody"/>
      </w:pPr>
      <w:r>
        <w:t>The member should be able to search, open a passage in context, follow an actual reply or reference, and bring an eligible selection beside a draft. Moving between these activities should preserve the query, reading position and unfinished writing. Similarity suggests a connection; recorded correspondence establishes its history.</w:t>
      </w:r>
    </w:p>
    <w:p>
      <w:pPr>
        <w:pStyle w:val="AppendixBody"/>
      </w:pPr>
      <w:r>
        <w:t>Confirmed synchronization requirement: preserve encrypted embeddings associated with a particular embedding model on C-SQD servers, allowing authorized devices to reuse them. The provider must not receive plaintext embeddings or message content through this process.</w:t>
      </w:r>
    </w:p>
    <w:p>
      <w:pPr>
        <w:pStyle w:val="AppendixHeading"/>
      </w:pPr>
      <w:r>
        <w:t>A2 Protection and locking</w:t>
      </w:r>
    </w:p>
    <w:p>
      <w:pPr>
        <w:pStyle w:val="AppendixBody"/>
      </w:pPr>
      <w:r>
        <w:t>Recommendation: use a persistent encrypted search database that opens with the existing member session. No separate search password or repeated unlock ceremony should be required. Existing authenticated correspondence remains authoritative; the local search database is a derived view that can be rebuilt.</w:t>
      </w:r>
    </w:p>
    <w:p>
      <w:pPr>
        <w:pStyle w:val="AppendixBody"/>
      </w:pPr>
      <w:r>
        <w:t>While unlocked, background extraction and embedding generation should yield to reading, typing and sending. Locking should dismiss results, invalidate pending deliveries to the interface, close search handles and release keys and decrypted working buffers. Cancellation must also reject a late result from a worker that cannot stop immediately. Already-encrypted records may continue transferring while locked. This is an application lifecycle requirement, not a claim that operating-system memory can be perfectly erased.</w:t>
      </w:r>
    </w:p>
    <w:p>
      <w:pPr>
        <w:pStyle w:val="AppendixBody"/>
      </w:pPr>
      <w:r>
        <w:t>Search remains available offline under the existing retained-content rules. The interface should explain incomplete coverage only where it affects a result or action. It should not add routine spinners or require the member to manage indexing jobs.</w:t>
      </w:r>
    </w:p>
    <w:p>
      <w:pPr>
        <w:pStyle w:val="AppendixHeading"/>
      </w:pPr>
      <w:r>
        <w:t>A3 Source identity and lifecycle</w:t>
      </w:r>
    </w:p>
    <w:p>
      <w:pPr>
        <w:pStyle w:val="AppendixBody"/>
      </w:pPr>
      <w:r>
        <w:t>Every passage should identify an account, an exact message or draft version, a content part and a source location. An attachment location may be a PDF page, document paragraph or spreadsheet cell range. Extraction and segmentation versions identify how that passage was derived. A checksum can detect changed content, but identical text does not establish identical provenance or permission.</w:t>
      </w:r>
    </w:p>
    <w:p>
      <w:pPr>
        <w:pStyle w:val="AppendixBody"/>
      </w:pPr>
      <w:r>
        <w:t>A source change should atomically advance its eligibility/version state and record the derived work required. Workers publish only against the still-current version. Known expiry or removal excludes a source before background cleanup finishes; opening and reuse recheck eligibility. Offline enforcement uses known changes and expiry, without pretending to know changes not yet received. Reading permission and reuse permission remain separate.</w:t>
      </w:r>
    </w:p>
    <w:p>
      <w:pPr>
        <w:pStyle w:val="AppendixHeading"/>
        <w:pageBreakBefore w:val="0"/>
      </w:pPr>
      <w:r>
        <w:t>A4 Passage extraction across formats</w:t>
      </w:r>
    </w:p>
    <w:p>
      <w:pPr>
        <w:pStyle w:val="AppendixBody"/>
      </w:pPr>
      <w:r>
        <w:t>Recommendation: preserve the original content and derive structured passages with exact source mappings. Extract HTML without fetching remote resources or executing content. Keep headings, lists, table structure, quotations, code and equations meaningful rather than flattening everything into an undifferentiated string.</w:t>
      </w:r>
    </w:p>
    <w:p>
      <w:pPr>
        <w:pStyle w:val="AppendixBody"/>
      </w:pPr>
      <w:r>
        <w:t>Begin evaluation with passages of roughly 200–400 model tokens, bounded by coherent content units. A token is a model-specific piece of text, not necessarily a word. Use limited overlap or surrounding context when a boundary would obscure an argument. The indexed passage and its mapped source range must remain distinguishable from extra context supplied to the model.</w:t>
      </w:r>
    </w:p>
    <w:p>
      <w:pPr>
        <w:pStyle w:val="AppendixBody"/>
      </w:pPr>
      <w:r>
        <w:t>For mathematical material, retain LaTeX or other available notation together with explanatory prose. Exact symbol and identifier search complements conceptual retrieval. Similar embeddings do not establish equivalent equations or valid deductions. Scanned mathematics and complex tables need explicit extraction-quality evaluation.</w:t>
      </w:r>
    </w:p>
    <w:p>
      <w:pPr>
        <w:pStyle w:val="AppendixBody"/>
      </w:pPr>
      <w:r>
        <w:t>Attachments belong in the architecture from the start, through format-specific local extractors and OCR where appropriate. Record whether extraction succeeded, is partial, is unsupported or requires a file password. Do not label a search complete when material was skipped. Extractors need bounded resources and must not execute embedded macros or active content.</w:t>
      </w:r>
    </w:p>
    <w:p>
      <w:pPr>
        <w:pStyle w:val="AppendixBody"/>
      </w:pPr>
      <w:r>
        <w:t>Keep quoted occurrences separately addressable, with their known ancestry. Group repeated text in results to reduce repetition, while allowing the member to inspect each occurrence. Deduplicating computation must never merge access rights. Drafts are private, mutable sources: index after a brief pause, identify results as unsent writing, and invalidate older revisions.</w:t>
      </w:r>
    </w:p>
    <w:p>
      <w:pPr>
        <w:pStyle w:val="AppendixHeading"/>
      </w:pPr>
      <w:r>
        <w:t>A5 Embedding model and compatibility</w:t>
      </w:r>
    </w:p>
    <w:p>
      <w:pPr>
        <w:pStyle w:val="AppendixBody"/>
      </w:pPr>
      <w:r>
        <w:t>An embedding is a numerical representation used to retrieve related material. Recommend evaluating Qwen3-Embedding-0.6B as the leading baseline and EmbeddingGemma-300M as a smaller-device comparison. The former documents multilingual and code retrieval with Apache-2.0 licensing; the latter targets on-device multilingual text retrieval under Gemma terms. Evaluate both on correspondence before choosing [1, 2].</w:t>
      </w:r>
    </w:p>
    <w:p>
      <w:pPr>
        <w:pStyle w:val="AppendixBody"/>
      </w:pPr>
      <w:r>
        <w:t>Start evaluation at 512 dimensions. Compare retrieval quality, inference latency, memory, battery use, model distribution and licensing on supported Apple devices. Include paraphrases, cross-language queries, notation-heavy passages and misleadingly similar arguments. Public benchmarks cannot settle these questions.</w:t>
      </w:r>
    </w:p>
    <w:p>
      <w:pPr>
        <w:pStyle w:val="AppendixBody"/>
      </w:pPr>
      <w:r>
        <w:t>An embedding compatibility profile must identify model weights, tokenizer, preprocessing and passage rules, query/document instructions, dimensions and normalization. Record the deployed precision and runtime where these can affect compatibility. Use the corresponding query encoder when searching stored vectors. Never compare scores across incompatible profiles as if they shared one space.</w:t>
      </w:r>
    </w:p>
    <w:p>
      <w:pPr>
        <w:pStyle w:val="AppendixHeading"/>
      </w:pPr>
      <w:r>
        <w:t>A6 Local storage and vector search</w:t>
      </w:r>
    </w:p>
    <w:p>
      <w:pPr>
        <w:pStyle w:val="AppendixBody"/>
      </w:pPr>
      <w:r>
        <w:t>Recommend encrypted SQLite as the leading storage direction, with SQLCipher evaluated for protection of the queryable local index. Its encrypted database and journal design requires deliberate temporary-file configuration [3]. This changes the current arrangement, where the Apple SQLite adapter stores Rust-authenticated ciphertext and Rust reconstructs its word lookup in memory. Integration must preserve that authority boundary.</w:t>
      </w:r>
    </w:p>
    <w:p>
      <w:pPr>
        <w:pStyle w:val="AppendixBody"/>
      </w:pPr>
      <w:r>
        <w:t>Compare sqlite-vec and vec1 in the encrypted build on actual devices. Exact search evaluates every eligible candidate; approximate search saves work by accepting possible missed neighbors. Vec1 supports both and requires training for its approximate mode; compressed approximate results generally require reranking against original vectors [4]. Keep the selected engine behind a small Rust adapter. Use evidence to select it, without committing now to an eventual engine switch.</w:t>
      </w:r>
    </w:p>
    <w:p>
      <w:pPr>
        <w:pStyle w:val="AppendixHeading"/>
        <w:pageBreakBefore w:val="0"/>
      </w:pPr>
      <w:r>
        <w:t>A7 Retrieval and presentation</w:t>
      </w:r>
    </w:p>
    <w:p>
      <w:pPr>
        <w:pStyle w:val="AppendixBody"/>
      </w:pPr>
      <w:r>
        <w:t>Recommendation: combine exact words and phrases with semantic candidates, then expand through actual conversations, replies, quotations and references. Retrieve within eligible correspondence and recheck before disclosure. When filtering removes candidates, continue retrieval sufficiently to avoid an apparently empty result caused solely by a fixed, unfiltered top-results cutoff.</w:t>
      </w:r>
    </w:p>
    <w:p>
      <w:pPr>
        <w:pStyle w:val="AppendixBody"/>
      </w:pPr>
      <w:r>
        <w:t>Present passages with the correspondent, date, subject and source location. Opening one restores its surrounding context. Keep query, filters and position when returning. Group duplicates without hiding their occurrences. Explain unavailable or incomplete material where it changes what the member can find; a semantic score should not appear as a probability that a passage answers the question.</w:t>
      </w:r>
    </w:p>
    <w:p>
      <w:pPr>
        <w:pStyle w:val="AppendixBody"/>
      </w:pPr>
      <w:r>
        <w:t>Recorded connections and suggested resemblance need different visual treatment. A reply or explicit reference can support a history view. Similar wording alone cannot justify labels such as “refutes”, “resolves” or “caused”. For example, a search for an earlier objection may find related passages; the reader can then follow actual replies to see how participants responded.</w:t>
      </w:r>
    </w:p>
    <w:p>
      <w:pPr>
        <w:pStyle w:val="AppendixBody"/>
      </w:pPr>
      <w:r>
        <w:t>While composing, offer Find related correspondence from selected writing or an explicit query. Open a chosen source in Column B without replacing the draft. The member deliberately chooses quotation, reference or sharing, subject to current policy. Draft matches remain visibly private and unsent. Assistance here means retrieval and navigation; generated answers or autonomous rewriting require separate product decisions.</w:t>
      </w:r>
    </w:p>
    <w:p>
      <w:pPr>
        <w:pStyle w:val="AppendixHeading"/>
      </w:pPr>
      <w:r>
        <w:t>A8 Encrypted synchronization between devices</w:t>
      </w:r>
    </w:p>
    <w:p>
      <w:pPr>
        <w:pStyle w:val="AppendixBody"/>
      </w:pPr>
      <w:r>
        <w:t>Recommendation: synchronize authenticated, encrypted embedding records and lifecycle updates, rather than an engine’s database files or approximate-index structures. Each authorized device decrypts eligible records and builds its own search index. The provider stores opaque records; it does not perform plaintext semantic search.</w:t>
      </w:r>
    </w:p>
    <w:p>
      <w:pPr>
        <w:pStyle w:val="AppendixBody"/>
      </w:pPr>
      <w:r>
        <w:t>A protected record should bind the user/account, exact source version and passage, extraction/segmentation versions, compatibility profile and vector. Keep content-derived identifiers and semantic metadata inside encryption wherever possible; routing should use opaque identifiers. Authentication must prevent a record from being substituted into another source or account context.</w:t>
      </w:r>
    </w:p>
    <w:p>
      <w:pPr>
        <w:pStyle w:val="AppendixBody"/>
      </w:pPr>
      <w:r>
        <w:t>A receiving device needs both the matching query model and valid source eligibility. An embedding does not supply readable source text or establish access. If authorized source content is not yet available, synchronize it through the applicable content path before presenting a passage or snippet.</w:t>
      </w:r>
    </w:p>
    <w:p>
      <w:pPr>
        <w:pStyle w:val="AppendixBody"/>
      </w:pPr>
      <w:r>
        <w:t>Use ordered/versioned lifecycle records, including deletion markers, so a stale device cannot restore removed material or overwrite a newer draft. A deletion marker is a durable record that an earlier entry is no longer eligible. Its retention and acknowledgement rules must cover devices that reconnect after a long absence. Eligibility changes, cleanup work and outbound synchronization intent need explicit, recoverable consequences.</w:t>
      </w:r>
    </w:p>
    <w:p>
      <w:pPr>
        <w:pStyle w:val="AppendixBody"/>
      </w:pPr>
      <w:r>
        <w:t>Preserve cloud embeddings while their source and retention policy permit it. Source expiry or removal also governs these sensitive derivatives. Cloud replicas and backup deletion schedules need an explicit policy; deleting an active record cannot honestly promise instantaneous erasure of every backup. Device removal prevents future access through the protocol but cannot erase information already obtained by that device.</w:t>
      </w:r>
    </w:p>
    <w:p>
      <w:pPr>
        <w:pStyle w:val="AppendixBody"/>
      </w:pPr>
      <w:r>
        <w:t>Model upgrades require a bounded transition: prepare a replacement generation, activate a compatible complete view, and retire obsolete records and generated indexes under a defined rule. Temporary coexistence must have a purpose and an end condition. Encryption protects record content; transfer timing, counts and sizes may still reveal metadata and need a stated exposure policy.</w:t>
      </w:r>
    </w:p>
    <w:p>
      <w:pPr>
        <w:pStyle w:val="AppendixHeading"/>
        <w:pageBreakBefore w:val="0"/>
      </w:pPr>
      <w:r>
        <w:t>A9 Scale and responsiveness targets</w:t>
      </w:r>
    </w:p>
    <w:p>
      <w:pPr>
        <w:pStyle w:val="AppendixBody"/>
      </w:pPr>
      <w:r>
        <w:t>These are proposed targets, not measured performance. Choose and record a baseline Mac and mobile device, dataset composition, cold/warm conditions and resource budget before making performance claims. The 95th percentile means that 95 percent of measured queries meet the stated time.</w:t>
      </w:r>
    </w:p>
    <w:tbl>
      <w:tblPr>
        <w:tblW w:type="auto" w:w="0"/>
        <w:tblLayout w:type="fixed"/>
        <w:tblLook w:firstColumn="1" w:firstRow="1" w:lastColumn="0" w:lastRow="0" w:noHBand="0" w:noVBand="1" w:val="04A0"/>
      </w:tblPr>
      <w:tblGrid>
        <w:gridCol w:w="3024"/>
        <w:gridCol w:w="6336"/>
      </w:tblGrid>
      <w:tr>
        <w:trPr>
          <w:cantSplit/>
          <w:tblHeader/>
        </w:trPr>
        <w:tc>
          <w:tcPr>
            <w:tcW w:type="dxa" w:w="4795"/>
            <w:shd w:fill="EAEAEA"/>
          </w:tcPr>
          <w:p>
            <w:pPr>
              <w:pStyle w:val="AppendixBody"/>
              <w:keepNext w:val="0"/>
              <w:keepLines/>
              <w:spacing w:after="80"/>
            </w:pPr>
            <w:r>
              <w:rPr>
                <w:b/>
                <w:sz w:val="20"/>
              </w:rPr>
              <w:t>Measure</w:t>
            </w:r>
          </w:p>
        </w:tc>
        <w:tc>
          <w:tcPr>
            <w:tcW w:type="dxa" w:w="4795"/>
            <w:shd w:fill="EAEAEA"/>
          </w:tcPr>
          <w:p>
            <w:pPr>
              <w:pStyle w:val="AppendixBody"/>
              <w:keepNext w:val="0"/>
              <w:keepLines/>
              <w:spacing w:after="80"/>
            </w:pPr>
            <w:r>
              <w:rPr>
                <w:b/>
                <w:sz w:val="20"/>
              </w:rPr>
              <w:t>Proposed target</w:t>
            </w:r>
          </w:p>
        </w:tc>
      </w:tr>
      <w:tr>
        <w:trPr>
          <w:cantSplit/>
        </w:trPr>
        <w:tc>
          <w:tcPr>
            <w:tcW w:type="dxa" w:w="3024"/>
          </w:tcPr>
          <w:p>
            <w:pPr>
              <w:pStyle w:val="AppendixBody"/>
              <w:keepNext w:val="0"/>
              <w:keepLines/>
              <w:spacing w:after="80"/>
            </w:pPr>
            <w:r>
              <w:rPr>
                <w:b w:val="0"/>
                <w:sz w:val="20"/>
              </w:rPr>
              <w:t>Routine and large evaluation archives</w:t>
            </w:r>
          </w:p>
        </w:tc>
        <w:tc>
          <w:tcPr>
            <w:tcW w:type="dxa" w:w="6336"/>
          </w:tcPr>
          <w:p>
            <w:pPr>
              <w:pStyle w:val="AppendixBody"/>
              <w:keepNext w:val="0"/>
              <w:keepLines/>
              <w:spacing w:after="80"/>
            </w:pPr>
            <w:r>
              <w:rPr>
                <w:b w:val="0"/>
                <w:sz w:val="20"/>
              </w:rPr>
              <w:t>100,000 and 1 million passages</w:t>
            </w:r>
          </w:p>
        </w:tc>
      </w:tr>
      <w:tr>
        <w:trPr>
          <w:cantSplit/>
        </w:trPr>
        <w:tc>
          <w:tcPr>
            <w:tcW w:type="dxa" w:w="3024"/>
          </w:tcPr>
          <w:p>
            <w:pPr>
              <w:pStyle w:val="AppendixBody"/>
              <w:keepNext w:val="0"/>
              <w:keepLines/>
              <w:spacing w:after="80"/>
            </w:pPr>
            <w:r>
              <w:rPr>
                <w:b w:val="0"/>
                <w:sz w:val="20"/>
              </w:rPr>
              <w:t>Warm lexical results</w:t>
            </w:r>
          </w:p>
        </w:tc>
        <w:tc>
          <w:tcPr>
            <w:tcW w:type="dxa" w:w="6336"/>
          </w:tcPr>
          <w:p>
            <w:pPr>
              <w:pStyle w:val="AppendixBody"/>
              <w:keepNext w:val="0"/>
              <w:keepLines/>
              <w:spacing w:after="80"/>
            </w:pPr>
            <w:r>
              <w:rPr>
                <w:b w:val="0"/>
                <w:sz w:val="20"/>
              </w:rPr>
              <w:t>Within 150 ms at the 95th percentile</w:t>
            </w:r>
          </w:p>
        </w:tc>
      </w:tr>
      <w:tr>
        <w:trPr>
          <w:cantSplit/>
        </w:trPr>
        <w:tc>
          <w:tcPr>
            <w:tcW w:type="dxa" w:w="3024"/>
          </w:tcPr>
          <w:p>
            <w:pPr>
              <w:pStyle w:val="AppendixBody"/>
              <w:keepNext w:val="0"/>
              <w:keepLines/>
              <w:spacing w:after="80"/>
            </w:pPr>
            <w:r>
              <w:rPr>
                <w:b w:val="0"/>
                <w:sz w:val="20"/>
              </w:rPr>
              <w:t>Useful combined results on baseline Mac</w:t>
            </w:r>
          </w:p>
        </w:tc>
        <w:tc>
          <w:tcPr>
            <w:tcW w:type="dxa" w:w="6336"/>
          </w:tcPr>
          <w:p>
            <w:pPr>
              <w:pStyle w:val="AppendixBody"/>
              <w:keepNext w:val="0"/>
              <w:keepLines/>
              <w:spacing w:after="80"/>
            </w:pPr>
            <w:r>
              <w:rPr>
                <w:b w:val="0"/>
                <w:sz w:val="20"/>
              </w:rPr>
              <w:t>Within 500 ms at the 95th percentile</w:t>
            </w:r>
          </w:p>
        </w:tc>
      </w:tr>
      <w:tr>
        <w:trPr>
          <w:cantSplit/>
        </w:trPr>
        <w:tc>
          <w:tcPr>
            <w:tcW w:type="dxa" w:w="3024"/>
          </w:tcPr>
          <w:p>
            <w:pPr>
              <w:pStyle w:val="AppendixBody"/>
              <w:keepNext w:val="0"/>
              <w:keepLines/>
              <w:spacing w:after="80"/>
            </w:pPr>
            <w:r>
              <w:rPr>
                <w:b w:val="0"/>
                <w:sz w:val="20"/>
              </w:rPr>
              <w:t>Combined results on reference mobile device</w:t>
            </w:r>
          </w:p>
        </w:tc>
        <w:tc>
          <w:tcPr>
            <w:tcW w:type="dxa" w:w="6336"/>
          </w:tcPr>
          <w:p>
            <w:pPr>
              <w:pStyle w:val="AppendixBody"/>
              <w:keepNext w:val="0"/>
              <w:keepLines/>
              <w:spacing w:after="80"/>
            </w:pPr>
            <w:r>
              <w:rPr>
                <w:b w:val="0"/>
                <w:sz w:val="20"/>
              </w:rPr>
              <w:t>Within 1 second at the 95th percentile</w:t>
            </w:r>
          </w:p>
        </w:tc>
      </w:tr>
      <w:tr>
        <w:trPr>
          <w:cantSplit/>
        </w:trPr>
        <w:tc>
          <w:tcPr>
            <w:tcW w:type="dxa" w:w="3024"/>
          </w:tcPr>
          <w:p>
            <w:pPr>
              <w:pStyle w:val="AppendixBody"/>
              <w:keepNext w:val="0"/>
              <w:keepLines/>
              <w:spacing w:after="80"/>
            </w:pPr>
            <w:r>
              <w:rPr>
                <w:b w:val="0"/>
                <w:sz w:val="20"/>
              </w:rPr>
              <w:t>Background work</w:t>
            </w:r>
          </w:p>
        </w:tc>
        <w:tc>
          <w:tcPr>
            <w:tcW w:type="dxa" w:w="6336"/>
          </w:tcPr>
          <w:p>
            <w:pPr>
              <w:pStyle w:val="AppendixBody"/>
              <w:keepNext w:val="0"/>
              <w:keepLines/>
              <w:spacing w:after="80"/>
            </w:pPr>
            <w:r>
              <w:rPr>
                <w:b w:val="0"/>
                <w:sz w:val="20"/>
              </w:rPr>
              <w:t>Resumable and bounded; subordinate to interaction</w:t>
            </w:r>
          </w:p>
        </w:tc>
      </w:tr>
    </w:tbl>
    <w:p>
      <w:pPr>
        <w:pStyle w:val="AppendixBody"/>
      </w:pPr>
      <w:r>
        <w:t>At 512 dimensions and four bytes per float, 100,000 vectors occupy about 205 MB (195 MiB) before metadata, encryption and index overhead; one million occupy about 2.05 GB. Dimension reduction or quantization may save space but must be evaluated for retrieval loss. Budget inference-model memory separately.</w:t>
      </w:r>
    </w:p>
    <w:p>
      <w:pPr>
        <w:pStyle w:val="AppendixBody"/>
      </w:pPr>
      <w:r>
        <w:t>Index progressively, prioritizing recent correspondence and material being consulted. Large imports should favor charging and idle periods. Search the completed portion immediately and disclose relevant coverage gaps. Query-model startup, extraction, synchronization and index construction need separate measurements; a fast vector lookup alone does not establish a responsive experience.</w:t>
      </w:r>
    </w:p>
    <w:p>
      <w:pPr>
        <w:pStyle w:val="AppendixHeading"/>
      </w:pPr>
      <w:r>
        <w:t>A10 Ownership and validation</w:t>
      </w:r>
    </w:p>
    <w:p>
      <w:pPr>
        <w:pStyle w:val="AppendixBody"/>
      </w:pPr>
      <w:r>
        <w:t>Rust owns source eligibility, passage identity, version compatibility, retrieval orchestration and complete lifecycle consequences. Storage, extraction and inference are adapters. Swift owns navigation, source context, selection and composing interaction through shared presentation contracts. Model output is derived evidence; policy decisions remain deterministic from explicit state, time and evidence.</w:t>
      </w:r>
    </w:p>
    <w:p>
      <w:pPr>
        <w:pStyle w:val="AppendixBody"/>
      </w:pPr>
      <w:r>
        <w:t>Indexing must not block delivery. Commit authoritative eligibility/version changes and recoverable work intent atomically; perform extraction, inference and network I/O outside that transaction. Publish derived results conditionally against the current generation. A failed search-index update may reduce coverage, but must not change message truth or authorize stale disclosure.</w:t>
      </w:r>
    </w:p>
    <w:p>
      <w:pPr>
        <w:pStyle w:val="AppendixBody"/>
      </w:pPr>
      <w:r>
        <w:t>Agree validation scope before adding tests. Challenge whether delayed indexing can revive removed content; whether replayed synchronization can undo deletion; whether scoped retrieval still finds permitted material when most close matches are excluded; whether multilingual, mathematical and attachment queries recover useful source passages; and whether import/indexing load disrupts ordinary correspondence. State the counterexample, material consequence and required observation for each experiment.</w:t>
      </w:r>
    </w:p>
    <w:p>
      <w:pPr>
        <w:pStyle w:val="AppendixHeading"/>
      </w:pPr>
      <w:r>
        <w:t>A11 Decision status</w:t>
      </w:r>
    </w:p>
    <w:p>
      <w:pPr>
        <w:pStyle w:val="AppendixBody"/>
      </w:pPr>
      <w:r>
        <w:t>Appendix B records the owner’s subsequent decisions and the next agent’s mandate. Other recommendations in Appendix A remain proposed defaults. The plan must identify unresolved policy details, measured technical choices, resource budgets and a validation scope for agreement.</w:t>
      </w:r>
    </w:p>
    <w:p>
      <w:pPr>
        <w:pStyle w:val="AppendixSmall"/>
      </w:pPr>
      <w:r>
        <w:t>Technical references checked 25 October 2026</w:t>
      </w:r>
    </w:p>
    <w:p>
      <w:pPr>
        <w:pStyle w:val="AppendixSmall"/>
      </w:pPr>
      <w:r>
        <w:t>[1] Qwen model card — https://huggingface.co/Qwen/Qwen3-Embedding-0.6B</w:t>
      </w:r>
    </w:p>
    <w:p>
      <w:pPr>
        <w:pStyle w:val="AppendixSmall"/>
      </w:pPr>
      <w:r>
        <w:t>[2] Google model card — https://huggingface.co/google/embeddinggemma-300m</w:t>
      </w:r>
    </w:p>
    <w:p>
      <w:pPr>
        <w:pStyle w:val="AppendixSmall"/>
      </w:pPr>
      <w:r>
        <w:t>[3] SQLCipher design — https://www.zetetic.net/sqlcipher/design/</w:t>
      </w:r>
    </w:p>
    <w:p>
      <w:pPr>
        <w:pStyle w:val="AppendixSmall"/>
      </w:pPr>
      <w:r>
        <w:t>[4] SQLite vec1 manual — https://www.sqlite.org/vec1doc.html</w:t>
      </w:r>
    </w:p>
    <w:p>
      <w:pPr>
        <w:pStyle w:val="AppendixTitle"/>
        <w:pageBreakBefore/>
      </w:pPr>
      <w:r>
        <w:t>Appendix B Confirmed decisions and agent mandate</w:t>
      </w:r>
    </w:p>
    <w:p>
      <w:pPr>
        <w:pStyle w:val="AppendixSmall"/>
      </w:pPr>
      <w:r>
        <w:t>Owner confirmation recorded 25 October 2026</w:t>
      </w:r>
    </w:p>
    <w:p>
      <w:pPr>
        <w:pStyle w:val="AppendixBody"/>
      </w:pPr>
      <w:r>
        <w:t>The owner approved the following three recommendations after reviewing Appendix A. These decisions resolve draft synchronization, deletion of source-derived embeddings, and the proposed initial format and device scope. They do not finalize model, database or hardware selections.</w:t>
      </w:r>
    </w:p>
    <w:p>
      <w:pPr>
        <w:pStyle w:val="AppendixHeading"/>
      </w:pPr>
      <w:r>
        <w:t>B1 Confirmed product decisions</w:t>
      </w:r>
    </w:p>
    <w:p>
      <w:pPr>
        <w:pStyle w:val="AppendixBody"/>
      </w:pPr>
      <w:r>
        <w:t>Private drafts: synchronize encrypted draft content and its model-specific embeddings between the member’s authorized devices. Drafts remain private and visibly unsent. The design must handle concurrent edits and revisions explicitly; delayed synchronization must not silently overwrite newer writing.</w:t>
      </w:r>
    </w:p>
    <w:p>
      <w:pPr>
        <w:pStyle w:val="AppendixBody"/>
      </w:pPr>
      <w:r>
        <w:t>Deletion: deleting a source also deletes its cloud embeddings. Retain authenticated deletion markers so stale devices cannot restore removed entries. Exclude deleted content immediately when deletion is known, with recoverable propagation and cleanup. Specify a deadline for removal from backups before making a retention promise; the owner has not yet selected that deadline.</w:t>
      </w:r>
    </w:p>
    <w:p>
      <w:pPr>
        <w:pStyle w:val="AppendixBody"/>
      </w:pPr>
      <w:r>
        <w:t>Initial coverage: support text, HTML, LaTeX, PDF, DOCX and XLSX, with local OCR for scanned documents. Design for the complete content scope in A1. Evaluate on named Mac and iPhone reference devices. Exact device models, minimum hardware, supported languages and extraction acceptance criteria remain to be established through planning and evaluation.</w:t>
      </w:r>
    </w:p>
    <w:p>
      <w:pPr>
        <w:pStyle w:val="AppendixHeading"/>
      </w:pPr>
      <w:r>
        <w:t>B2 Next agent mandate</w:t>
      </w:r>
    </w:p>
    <w:p>
      <w:pPr>
        <w:pStyle w:val="AppendixBody"/>
      </w:pPr>
      <w:r>
        <w:t>Read AGENTS.md, docs/rust-domain-principles.md, docs/swift-design-principles.md, DOMAIN_MODEL.md and cs_mail_build_plan.tex alongside this memorandum. Inspect the current implementation before proposing changes. Treat this document as context for investigation and implementation planning; it does not assert that the feature or its prerequisites already exist.</w:t>
      </w:r>
    </w:p>
    <w:p>
      <w:pPr>
        <w:pStyle w:val="AppendixBody"/>
      </w:pPr>
      <w:r>
        <w:t>Investigate model/profile choices, passage extraction, dimensions, encrypted SQLite integration, vector engines and performance budgets. Present evidence and tradeoffs for a coherent recommendation. Any proposed experiments must identify consequential conjectures and obtain agreement on their validation scope before adding tests, as required by the project instructions.</w:t>
      </w:r>
    </w:p>
    <w:p>
      <w:pPr>
        <w:pStyle w:val="AppendixBody"/>
      </w:pPr>
      <w:r>
        <w:t>Return a reviewable plan covering Rust domain and application ownership, Swift interaction, source eligibility and versioning, draft-conflict handling, encrypted synchronization, deletion and backup retention, model upgrades, storage/migration boundaries, supported-device requirements, incremental delivery and validation. Preserve the unified application, original account and Keychain association, current addresses and existing authority boundaries.</w:t>
      </w:r>
    </w:p>
    <w:p>
      <w:pPr>
        <w:pStyle w:val="AppendixBody"/>
      </w:pPr>
      <w:r>
        <w:t>Surface the remaining owner-level choices explicitly, especially the backup-deletion deadline and any material change to protection, access, reuse or retention. Select technical defaults through evidence, rather than treating every provisional recommendation as approved. Review of the plan and agreement on validation scope precede feature implementation.</w:t>
      </w:r>
    </w:p>
    <w:sectPr w:rsidR="00FC693F" w:rsidRPr="0006063C" w:rsidSect="00034616">
      <w:footerReference w:type="default" r:id="rId9"/>
      <w:pgSz w:w="12240" w:h="15840"/>
      <w:pgMar w:top="1123" w:right="1325" w:bottom="108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C-SQD  •  Working design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9344A"/>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344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Body">
    <w:name w:val="Appendix Body"/>
    <w:basedOn w:val="Normal"/>
    <w:pPr>
      <w:spacing w:line="247" w:lineRule="auto" w:after="80"/>
    </w:pPr>
    <w:rPr>
      <w:rFonts w:ascii="Cambria" w:hAnsi="Cambria"/>
      <w:color w:val="000000"/>
      <w:sz w:val="22"/>
    </w:rPr>
  </w:style>
  <w:style w:type="paragraph" w:customStyle="1" w:styleId="AppendixHeading">
    <w:name w:val="Appendix Heading"/>
    <w:basedOn w:val="Heading1"/>
    <w:pPr>
      <w:keepNext/>
      <w:spacing w:line="247" w:lineRule="auto" w:after="80" w:before="160"/>
    </w:pPr>
    <w:rPr>
      <w:rFonts w:ascii="Calibri" w:hAnsi="Calibri"/>
      <w:b/>
      <w:color w:val="000000"/>
      <w:sz w:val="24"/>
    </w:rPr>
  </w:style>
  <w:style w:type="paragraph" w:customStyle="1" w:styleId="AppendixTitle">
    <w:name w:val="Appendix Title"/>
    <w:basedOn w:val="Heading1"/>
    <w:pPr>
      <w:keepNext/>
      <w:spacing w:line="247" w:lineRule="auto" w:after="80" w:before="160"/>
    </w:pPr>
    <w:rPr>
      <w:rFonts w:ascii="Calibri" w:hAnsi="Calibri"/>
      <w:b/>
      <w:color w:val="000000"/>
      <w:sz w:val="34"/>
    </w:rPr>
  </w:style>
  <w:style w:type="paragraph" w:customStyle="1" w:styleId="AppendixSmall">
    <w:name w:val="Appendix Small"/>
    <w:basedOn w:val="Normal"/>
    <w:pPr>
      <w:spacing w:line="240" w:lineRule="auto" w:after="0"/>
    </w:pPr>
    <w:rPr>
      <w:rFonts w:ascii="Cambria" w:hAnsi="Cambria"/>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