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Memo: SMTP Egress for cs-mail</w:t>
      </w:r>
    </w:p>
    <w:p>
      <w:pPr>
        <w:pStyle w:val="MemoMeta"/>
      </w:pPr>
      <w:r>
        <w:rPr>
          <w:b/>
        </w:rPr>
        <w:t xml:space="preserve">Decision: </w:t>
      </w:r>
      <w:r>
        <w:rPr>
          <w:b w:val="0"/>
        </w:rPr>
        <w:t>Use SMTP2GO initially for outbound delivery from cs-mail to legacy email recipients.</w:t>
      </w:r>
    </w:p>
    <w:p>
      <w:pPr>
        <w:pStyle w:val="MemoMeta"/>
      </w:pPr>
      <w:r>
        <w:rPr>
          <w:b/>
        </w:rPr>
        <w:t xml:space="preserve">Scope: </w:t>
      </w:r>
      <w:r>
        <w:t>Member-initiated external conversations, guest correspondence, and transactional notices; native cs-mail communication bypasses SMTP.</w:t>
      </w:r>
    </w:p>
    <w:p>
      <w:pPr>
        <w:pStyle w:val="MemoMeta"/>
      </w:pPr>
      <w:r>
        <w:rPr>
          <w:b/>
        </w:rPr>
        <w:t xml:space="preserve">Rationale: </w:t>
      </w:r>
      <w:r>
        <w:rPr>
          <w:b w:val="0"/>
        </w:rPr>
        <w:t>Minimize early cost while avoiding the cold-start deliverability problem.</w:t>
      </w:r>
    </w:p>
    <w:p/>
    <w:p>
      <w:pPr>
        <w:pStyle w:val="Heading1"/>
      </w:pPr>
      <w:r>
        <w:t>1. Decision</w:t>
      </w:r>
    </w:p>
    <w:p>
      <w:r>
        <w:rPr>
          <w:b/>
        </w:rPr>
        <w:t>cs-mail should use SMTP2GO as its initial outbound relay</w:t>
      </w:r>
      <w:r>
        <w:t xml:space="preserve"> for member-initiated external conversations, subsequent guest correspondence, and transactional notices. SMTP2GO supplies delivery at the legacy boundary; cs-mail owns conversation state and permission. Messages between cs-mail accounts remain entirely inside cs-mail. The external conversation flow below is agreed product scope for Milestone 3c, not a claim of completed implementation.</w:t>
      </w:r>
    </w:p>
    <w:p>
      <w:pPr/>
      <w:r>
        <w:t>A member may email an external address before its owner has approached cs-mail. The first send opens an opportunity for an authenticated initial reply; it does not grant standing permission. The member can read that reply in a pending conversation and must choose Accept, Reject, or Grant an express lane before continuing access is established. Accept grants standing directed permission, while a lane grants its stated access, subject to later block or revocation. The initial reply is uncharged and requires no payment instrument; rejection creates no forfeiture or refund.</w:t>
      </w:r>
    </w:p>
    <w:p>
      <w:pPr/>
      <w:r>
        <w:t>Email authentication is checked automatically on each arriving message, separately from the member's permission decision. It does not require interactive proof of inbox control on every reply. A member-selected address is not evidence of mailbox control, and a reply token alone is insufficient. First-reply verification, additional replies while a decision is pending, subsequent contact after rejection, and queued mail after consent or permission changes remain open policy details.</w:t>
      </w:r>
    </w:p>
    <w:p>
      <w:pPr/>
      <w:r>
        <w:t>The first send and later member emails require explicit conversation-scoped privacy-downgrade consent: the relay sees plaintext. SMTP2GO is outbound only; cs-mail still operates the inbound receiver and enforces authentication, pending review, and continuing permissions.</w:t>
      </w:r>
    </w:p>
    <w:p>
      <w:pPr>
        <w:pStyle w:val="Heading1"/>
      </w:pPr>
      <w:r>
        <w:t>2. The problem is deliverability at the legacy boundary</w:t>
      </w:r>
    </w:p>
    <w:p>
      <w:r>
        <w:t>cs-mail does not need an external provider to supply mailboxes, conversation storage, identity, relationship state, or native message transport. Those functions belong to cs-mail itself. The external problem arises only when a cs-mail user sends to a recipient who still uses Gmail, Outlook, Yahoo, Microsoft 365, or another SMTP-based 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cs-mail user</w:t>
            </w:r>
          </w:p>
        </w:tc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jc w:val="center"/>
            </w:pPr>
            <w:r>
              <w:rPr>
                <w:b/>
                <w:sz w:val="18"/>
              </w:rPr>
              <w:t>Native cs-mail transport</w:t>
            </w:r>
          </w:p>
        </w:tc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cs-mail user</w:t>
            </w:r>
          </w:p>
        </w:tc>
      </w:tr>
      <w:tr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cs-mail user</w:t>
            </w:r>
          </w:p>
        </w:tc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EDEDED"/>
          </w:tcPr>
          <w:p>
            <w:pPr>
              <w:jc w:val="center"/>
            </w:pPr>
            <w:r>
              <w:rPr>
                <w:b/>
                <w:sz w:val="18"/>
              </w:rPr>
              <w:t>SMTP2GO egress relay</w:t>
            </w:r>
          </w:p>
        </w:tc>
        <w:tc>
          <w:tcPr>
            <w:tcW w:type="dxa" w:w="3024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legacy email recipient</w:t>
            </w:r>
          </w:p>
        </w:tc>
      </w:tr>
    </w:tbl>
    <w:p>
      <w:r>
        <w:t>SMTP interoperability is straightforward; deliverability is not. A new sending domain and new mail infrastructure have little established reputation with receiving networks. Technically valid messages can therefore be throttled, rejected, or placed in spam. cs-mail needs a trusted egress layer while its own legacy-facing reputation is still immature.</w:t>
      </w:r>
    </w:p>
    <w:p>
      <w:pPr>
        <w:pStyle w:val="Heading1"/>
      </w:pPr>
      <w:r>
        <w:t>3. What cs-mail actually needs from the relay</w:t>
      </w:r>
    </w:p>
    <w:p>
      <w:pPr>
        <w:pStyle w:val="ListBullet"/>
        <w:spacing w:after="40"/>
        <w:ind w:left="259" w:hanging="173"/>
      </w:pPr>
      <w:r>
        <w:t>Strong outbound infrastructure and reputation with major receiving networks.</w:t>
      </w:r>
    </w:p>
    <w:p>
      <w:pPr>
        <w:pStyle w:val="ListBullet"/>
        <w:spacing w:after="40"/>
        <w:ind w:left="259" w:hanging="173"/>
      </w:pPr>
      <w:r>
        <w:t>SPF, DKIM, DMARC, TLS, and standards-compliant SMTP delivery.</w:t>
      </w:r>
    </w:p>
    <w:p>
      <w:pPr>
        <w:pStyle w:val="ListBullet"/>
        <w:spacing w:after="40"/>
        <w:ind w:left="259" w:hanging="173"/>
      </w:pPr>
      <w:r>
        <w:t>Bounce and complaint feedback that cs-mail can ingest programmatically.</w:t>
      </w:r>
    </w:p>
    <w:p>
      <w:pPr>
        <w:pStyle w:val="ListBullet"/>
        <w:spacing w:after="40"/>
        <w:ind w:left="259" w:hanging="173"/>
      </w:pPr>
      <w:r>
        <w:t>Reliable queuing, retry, and transient-failure handling.</w:t>
      </w:r>
    </w:p>
    <w:p>
      <w:pPr>
        <w:pStyle w:val="ListBullet"/>
        <w:spacing w:after="40"/>
        <w:ind w:left="259" w:hanging="173"/>
      </w:pPr>
      <w:r>
        <w:t>Monitoring for blacklist, spam-trap, and other reputation problems.</w:t>
      </w:r>
    </w:p>
    <w:p>
      <w:pPr>
        <w:pStyle w:val="ListBullet"/>
        <w:spacing w:after="40"/>
        <w:ind w:left="259" w:hanging="173"/>
      </w:pPr>
      <w:r>
        <w:t>A path from shared infrastructure to dedicated reputation when external volume becomes large and regular enough.</w:t>
      </w:r>
    </w:p>
    <w:p>
      <w:r>
        <w:rPr>
          <w:b/>
        </w:rPr>
        <w:t xml:space="preserve">The relay does not need to provide </w:t>
      </w:r>
      <w:r>
        <w:t>mailbox storage, conversation semantics, user identity, relationship permissions, internal anti-spam logic, or native cs-mail delivery. This narrow requirement materially changes the vendor choice.</w:t>
      </w:r>
    </w:p>
    <w:p>
      <w:pPr>
        <w:pStyle w:val="Heading1"/>
      </w:pPr>
      <w:r>
        <w:t>4. Why outsource this initially</w:t>
      </w:r>
    </w:p>
    <w:p>
      <w:r>
        <w:t>Running first-party SMTP from launch would give cs-mail maximum control, but it would also force the company to solve sender reputation before it has meaningful, regular traffic. That is an unfavorable bootstrap problem.</w:t>
      </w:r>
    </w:p>
    <w:p>
      <w:pPr>
        <w:pStyle w:val="ListBullet"/>
        <w:spacing w:after="40"/>
        <w:ind w:left="259" w:hanging="173"/>
      </w:pPr>
      <w:r>
        <w:t>Avoid a cold-start reputation penalty at Gmail, Microsoft, Yahoo, and corporate receivers.</w:t>
      </w:r>
    </w:p>
    <w:p>
      <w:pPr>
        <w:pStyle w:val="ListBullet"/>
        <w:spacing w:after="40"/>
        <w:ind w:left="259" w:hanging="173"/>
      </w:pPr>
      <w:r>
        <w:t>Avoid building a deliverability-operations function before it is economically justified.</w:t>
      </w:r>
    </w:p>
    <w:p>
      <w:pPr>
        <w:pStyle w:val="ListBullet"/>
        <w:spacing w:after="40"/>
        <w:ind w:left="259" w:hanging="173"/>
      </w:pPr>
      <w:r>
        <w:t>Keep the dependency peripheral: replacing the relay later does not require migrating users, conversations, or stored data.</w:t>
      </w:r>
    </w:p>
    <w:p>
      <w:pPr>
        <w:pStyle w:val="ListBullet"/>
        <w:spacing w:after="40"/>
        <w:ind w:left="259" w:hanging="173"/>
      </w:pPr>
      <w:r>
        <w:t>Let native cs-mail traffic remain independent of SMTP from the first day.</w:t>
      </w:r>
    </w:p>
    <w:p>
      <w:pPr>
        <w:pStyle w:val="Heading1"/>
      </w:pPr>
      <w:r>
        <w:t>5. Why SMTP2GO</w:t>
      </w:r>
    </w:p>
    <w:p>
      <w:r>
        <w:t>Among the evaluated providers, SMTP2GO best matches the early-stage objective of minimizing cost while buying only the legacy-egress capabilities cs-mail actually needs.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E6E6E6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3331"/>
            <w:shd w:fill="E6E6E6"/>
          </w:tcPr>
          <w:p>
            <w:r>
              <w:rPr>
                <w:b/>
                <w:sz w:val="18"/>
              </w:rPr>
              <w:t>Early-stage fit</w:t>
            </w:r>
          </w:p>
        </w:tc>
        <w:tc>
          <w:tcPr>
            <w:tcW w:type="dxa" w:w="3331"/>
            <w:shd w:fill="E6E6E6"/>
          </w:tcPr>
          <w:p>
            <w:r>
              <w:rPr>
                <w:b/>
                <w:sz w:val="18"/>
              </w:rPr>
              <w:t>Main drawback for cs-mail</w:t>
            </w:r>
          </w:p>
        </w:tc>
      </w:tr>
      <w:tr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SMTP2GO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Low-cost SMTP relay with shared reputation, authentication, feedback, retries, monitoring, and later dedicated-IP support.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Suitability for member-authored correspondence under open enrollment must be confirmed.</w:t>
            </w:r>
          </w:p>
        </w:tc>
      </w:tr>
      <w:tr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SocketLabs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Strong deliverability and reputation tooling.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Higher cost for capabilities of limited early value.</w:t>
            </w:r>
          </w:p>
        </w:tc>
      </w:tr>
      <w:tr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MailChannels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Strong multi-tenant reputation isolation.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The value of sender isolation must be assessed under open enrollment, rather than discounted on an invite-only assumption.</w:t>
            </w:r>
          </w:p>
        </w:tc>
      </w:tr>
      <w:tr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Postmark / Resend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Strong application-email platforms.</w:t>
            </w:r>
          </w:p>
        </w:tc>
        <w:tc>
          <w:tcPr>
            <w:tcW w:type="dxa" w:w="3331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r>
              <w:rPr>
                <w:sz w:val="17"/>
              </w:rPr>
              <w:t>Broader product surface than cs-mail needs for a boundary relay.</w:t>
            </w:r>
          </w:p>
        </w:tc>
      </w:tr>
    </w:tbl>
    <w:p>
      <w:r>
        <w:rPr>
          <w:b/>
        </w:rPr>
        <w:t xml:space="preserve">Cost matters because only legacy-facing traffic uses the relay. </w:t>
      </w:r>
      <w:r>
        <w:t>SMTP2GO currently prices its entry tier at about $10 per month for 10,000 messages and its 100,000-message tier at about $75 per month. At the latter tier, dedicated-IP capability is available, although cs-mail should remain on a high-quality shared pool until its external traffic is sufficiently regular to support its own IP reputation.</w:t>
      </w:r>
    </w:p>
    <w:p>
      <w:pPr>
        <w:pStyle w:val="Heading1"/>
      </w:pPr>
      <w:r>
        <w:t>6. Open enrollment and outbound controls</w:t>
      </w:r>
    </w:p>
    <w:p>
      <w:r>
        <w:t>cs-mail enrollment is open to anyone who completes the required login and bank-ownership verification, subject to the product's enrollment screening rules; there is no invite-only membership assumption. The relay choice must therefore be assessed under open enrollment. cs-mail needs outbound limits, complaint handling, and suspension controls before live external use. Confirm SMTP2GO's suitability for member-authored external correspondence; low early volume alone does not establish that account-level reputation isolation is unnecessary.</w:t>
      </w:r>
    </w:p>
    <w:p>
      <w:pPr>
        <w:pStyle w:val="Heading1"/>
      </w:pPr>
      <w:r>
        <w:t>7. Long-run architecture</w:t>
      </w:r>
    </w:p>
    <w:p>
      <w:r>
        <w:t>SMTP2GO should be treated as an egress carrier, not a permanent architectural dependency. As cs-mail adoption grows, a larger share of communication should remain entirely within the native network and never touch SMTP. If legacy-facing volume eventually becomes large and regular, cs-mail can move from shared relay infrastructure to dedicated reputation and, if justified, first-party SMTP delivery.</w:t>
      </w:r>
    </w:p>
    <w:p>
      <w:r>
        <w:rPr>
          <w:b/>
        </w:rPr>
        <w:t>The desired dependency therefore shrinks as cs-mail succeeds.</w:t>
      </w:r>
    </w:p>
    <w:p>
      <w:pPr>
        <w:pStyle w:val="Heading1"/>
      </w:pPr>
      <w:r>
        <w:t>Sources</w:t>
      </w:r>
    </w:p>
    <w:p>
      <w:pPr>
        <w:spacing w:before="0" w:after="0"/>
      </w:pPr>
      <w:r>
        <w:rPr>
          <w:sz w:val="16"/>
        </w:rPr>
        <w:t>Vendor references (accessed September 2026): SMTP2GO pricing, https://www.smtp2go.com/pricing/; SMTP2GO dedicated-IP guidance, https://support.smtp2go.com/hc/en-gb/articles/223087827-When-To-Use-A-Dedicated-IP-Address; SocketLabs pricing, https://www.socketlabs.com/pricing/; MailChannels pricing, https://www.mailchannels.com/pricing/.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cs-mail architecture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Meta">
    <w:name w:val="Memo Meta"/>
    <w:pPr>
      <w:spacing w:after="20"/>
    </w:pPr>
    <w:rPr>
      <w:rFonts w:ascii="Aptos" w:hAnsi="Aptos"/>
      <w:b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