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E62A" w14:textId="77777777" w:rsidR="003B2D73" w:rsidRDefault="00000000">
      <w:pPr>
        <w:pStyle w:val="Title"/>
      </w:pPr>
      <w:proofErr w:type="spellStart"/>
      <w:r>
        <w:t>Phoros</w:t>
      </w:r>
      <w:proofErr w:type="spellEnd"/>
      <w:r>
        <w:t xml:space="preserve"> Benefits Intelligence Strategy Memo</w:t>
      </w:r>
    </w:p>
    <w:p w14:paraId="550BB891" w14:textId="77777777" w:rsidR="003B2D73" w:rsidRDefault="00000000">
      <w:pPr>
        <w:spacing w:after="40"/>
      </w:pPr>
      <w:r>
        <w:rPr>
          <w:i/>
          <w:iCs/>
        </w:rPr>
        <w:t>Date: July 7, 2026</w:t>
      </w:r>
    </w:p>
    <w:p w14:paraId="3DB46E50" w14:textId="77777777" w:rsidR="003B2D73" w:rsidRDefault="00000000">
      <w:pPr>
        <w:spacing w:after="240"/>
      </w:pPr>
      <w:r>
        <w:rPr>
          <w:i/>
          <w:iCs/>
        </w:rPr>
        <w:t xml:space="preserve">Purpose: Describe a selling strategy for </w:t>
      </w:r>
      <w:proofErr w:type="spellStart"/>
      <w:r>
        <w:rPr>
          <w:i/>
          <w:iCs/>
        </w:rPr>
        <w:t>Phoros</w:t>
      </w:r>
      <w:proofErr w:type="spellEnd"/>
      <w:r>
        <w:rPr>
          <w:i/>
          <w:iCs/>
        </w:rPr>
        <w:t xml:space="preserve"> Health based on employee-controlled billing state, employer-sponsored benefit development, cross-employer benefit intelligence, and private benefit activation.</w:t>
      </w:r>
    </w:p>
    <w:p w14:paraId="4DF8D285" w14:textId="77777777" w:rsidR="003B2D73" w:rsidRDefault="00000000">
      <w:pPr>
        <w:pStyle w:val="Heading1"/>
      </w:pPr>
      <w:r>
        <w:t>1. Executive thesis</w:t>
      </w:r>
    </w:p>
    <w:p w14:paraId="5DB121E4" w14:textId="77777777" w:rsidR="003B2D73" w:rsidRDefault="00000000">
      <w:pPr>
        <w:spacing w:after="160" w:line="276" w:lineRule="auto"/>
        <w:jc w:val="both"/>
      </w:pPr>
      <w:r>
        <w:t xml:space="preserve">Employers need better claims and billing intelligence to design health benefits, but they should not receive identifiable employee health data. </w:t>
      </w:r>
      <w:proofErr w:type="spellStart"/>
      <w:r>
        <w:t>Phoros</w:t>
      </w:r>
      <w:proofErr w:type="spellEnd"/>
      <w:r>
        <w:t xml:space="preserve"> can resolve this tension by creating an employee-controlled billing and benefits state layer. Employers fund the base service for their employees, who in turn receive a durable account that organizes claims, bills, denials, payments, and benefits history over time. In exchange, employers receive governed answers to their benefit-design questions, and benefit creators can request anonymized population intelligence across the </w:t>
      </w:r>
      <w:proofErr w:type="spellStart"/>
      <w:r>
        <w:t>Phoros</w:t>
      </w:r>
      <w:proofErr w:type="spellEnd"/>
      <w:r>
        <w:t xml:space="preserve"> network. Later, </w:t>
      </w:r>
      <w:proofErr w:type="spellStart"/>
      <w:r>
        <w:t>Phoros</w:t>
      </w:r>
      <w:proofErr w:type="spellEnd"/>
      <w:r>
        <w:t xml:space="preserve"> can support private outreach to eligible employees without exposing their identities to the employer or vendor.</w:t>
      </w:r>
    </w:p>
    <w:p w14:paraId="6F6DFF0B" w14:textId="77777777" w:rsidR="003B2D73" w:rsidRDefault="00000000">
      <w:pPr>
        <w:spacing w:after="160" w:line="276" w:lineRule="auto"/>
        <w:jc w:val="both"/>
      </w:pPr>
      <w:r>
        <w:t>The strategy follows a single loop:</w:t>
      </w:r>
    </w:p>
    <w:p w14:paraId="69DE3351" w14:textId="77777777" w:rsidR="003B2D73" w:rsidRDefault="00000000">
      <w:pPr>
        <w:pStyle w:val="ListParagraph"/>
        <w:numPr>
          <w:ilvl w:val="0"/>
          <w:numId w:val="2"/>
        </w:numPr>
        <w:spacing w:after="60"/>
      </w:pPr>
      <w:r>
        <w:t>Build employee-controlled billing state.</w:t>
      </w:r>
    </w:p>
    <w:p w14:paraId="0C63A10A" w14:textId="77777777" w:rsidR="003B2D73" w:rsidRDefault="00000000">
      <w:pPr>
        <w:pStyle w:val="ListParagraph"/>
        <w:numPr>
          <w:ilvl w:val="0"/>
          <w:numId w:val="2"/>
        </w:numPr>
        <w:spacing w:after="60"/>
      </w:pPr>
      <w:r>
        <w:t>Use it to understand unmet need.</w:t>
      </w:r>
    </w:p>
    <w:p w14:paraId="6525C4B6" w14:textId="77777777" w:rsidR="003B2D73" w:rsidRDefault="00000000">
      <w:pPr>
        <w:pStyle w:val="ListParagraph"/>
        <w:numPr>
          <w:ilvl w:val="0"/>
          <w:numId w:val="2"/>
        </w:numPr>
        <w:spacing w:after="60"/>
      </w:pPr>
      <w:r>
        <w:t>Use that evidence to design better benefit programs.</w:t>
      </w:r>
    </w:p>
    <w:p w14:paraId="74F87047" w14:textId="77777777" w:rsidR="003B2D73" w:rsidRDefault="00000000">
      <w:pPr>
        <w:pStyle w:val="ListParagraph"/>
        <w:numPr>
          <w:ilvl w:val="0"/>
          <w:numId w:val="2"/>
        </w:numPr>
        <w:spacing w:after="60"/>
      </w:pPr>
      <w:r>
        <w:t>Use privacy-preserving outreach to activate those programs.</w:t>
      </w:r>
    </w:p>
    <w:p w14:paraId="79F83ECA" w14:textId="77777777" w:rsidR="003B2D73" w:rsidRDefault="00000000">
      <w:pPr>
        <w:pStyle w:val="ListParagraph"/>
        <w:numPr>
          <w:ilvl w:val="0"/>
          <w:numId w:val="2"/>
        </w:numPr>
        <w:spacing w:after="60"/>
      </w:pPr>
      <w:r>
        <w:t>Measure outcomes.</w:t>
      </w:r>
    </w:p>
    <w:p w14:paraId="438DB3E8" w14:textId="77777777" w:rsidR="003B2D73" w:rsidRDefault="00000000">
      <w:pPr>
        <w:pStyle w:val="ListParagraph"/>
        <w:numPr>
          <w:ilvl w:val="0"/>
          <w:numId w:val="2"/>
        </w:numPr>
        <w:spacing w:after="60"/>
      </w:pPr>
      <w:r>
        <w:t>Improve next year’s benefits.</w:t>
      </w:r>
    </w:p>
    <w:p w14:paraId="2E3BB41B" w14:textId="77777777" w:rsidR="003B2D73" w:rsidRDefault="00000000">
      <w:pPr>
        <w:spacing w:after="160" w:line="276" w:lineRule="auto"/>
        <w:jc w:val="both"/>
      </w:pPr>
      <w:r>
        <w:t>The loop begins before any network exists: on day one, with one employer and no other enrolled member, the employee account already earns its keep as the employee’s agent against their own bills — organizing charges, catching errors, and supporting appeals — which makes the first step self-funding and feeds the state the rest require. This is a benefits intelligence business built on an employee-side trust architecture.</w:t>
      </w:r>
    </w:p>
    <w:p w14:paraId="43794E12" w14:textId="77777777" w:rsidR="003B2D73" w:rsidRDefault="00000000">
      <w:pPr>
        <w:pStyle w:val="Heading1"/>
      </w:pPr>
      <w:r>
        <w:t>2. The employer problem: benefit design is data-starved and conflicted</w:t>
      </w:r>
    </w:p>
    <w:p w14:paraId="1FB4CF59" w14:textId="77777777" w:rsidR="003B2D73" w:rsidRDefault="00000000">
      <w:pPr>
        <w:spacing w:after="160" w:line="276" w:lineRule="auto"/>
        <w:jc w:val="both"/>
      </w:pPr>
      <w:r>
        <w:t xml:space="preserve">Employers pay a large share of employee health costs, yet they still have a poor view of what employees </w:t>
      </w:r>
      <w:proofErr w:type="gramStart"/>
      <w:r>
        <w:t>actually experience</w:t>
      </w:r>
      <w:proofErr w:type="gramEnd"/>
      <w:r>
        <w:t xml:space="preserve"> inside the health system. The relevant facts sit scattered across insurers, third-party administrators (often called TPAs), pharmacy benefit managers (often called PBMs), providers, vendors, and the employee’s own bills. The employer typically depends on these same actors to summarize the very data needed to evaluate them, which creates an information conflict: the insurer reports on claims, the PBM reports on drug spend, the broker advises on vendor selection, and each vendor reports on its own return on investment. As a result, the employer must design next year’s benefits from summaries prepared by parties with their own incentives.</w:t>
      </w:r>
    </w:p>
    <w:p w14:paraId="768355C2" w14:textId="77777777" w:rsidR="003B2D73" w:rsidRDefault="00000000">
      <w:pPr>
        <w:spacing w:after="160" w:line="276" w:lineRule="auto"/>
        <w:jc w:val="both"/>
      </w:pPr>
      <w:r>
        <w:t xml:space="preserve">Annual benefit design needs better evidence than this. Employers need to know where employees face high out-of-pocket costs, where care is denied, where prior authorization blocks care, which </w:t>
      </w:r>
      <w:r>
        <w:lastRenderedPageBreak/>
        <w:t>benefits go unused, which vendors genuinely reduce burden, and which programs should be added, changed, removed, or renegotiated. The problem is especially acute for small and mid-sized employers, because many high-value health problems are too rare inside a single workforce to study well. Categories such as oncology, fertility, rare disease, autoimmune disease, pediatric complex care, specialty pharmacy, and severe mental health may each involve only small counts, even though the employer may still need to design programs for them.</w:t>
      </w:r>
    </w:p>
    <w:p w14:paraId="277DD7CF" w14:textId="77777777" w:rsidR="003B2D73" w:rsidRDefault="00000000">
      <w:pPr>
        <w:spacing w:after="160" w:line="276" w:lineRule="auto"/>
        <w:jc w:val="both"/>
      </w:pPr>
      <w:r>
        <w:t>The central employer problem is therefore this: they need better benefit intelligence without becoming a surveillance actor.</w:t>
      </w:r>
    </w:p>
    <w:p w14:paraId="21CCDC12" w14:textId="77777777" w:rsidR="003B2D73" w:rsidRDefault="00000000">
      <w:pPr>
        <w:pStyle w:val="Heading1"/>
      </w:pPr>
      <w:r>
        <w:t>3. The employee problem: billing reality is fragmented and opaque</w:t>
      </w:r>
    </w:p>
    <w:p w14:paraId="4B235709" w14:textId="77777777" w:rsidR="003B2D73" w:rsidRDefault="00000000">
      <w:pPr>
        <w:spacing w:after="160" w:line="276" w:lineRule="auto"/>
        <w:jc w:val="both"/>
      </w:pPr>
      <w:r>
        <w:t>Employees experience the health system through bills, explanations of benefits, denials, deductibles, prior authorizations, co-pays, coinsurance, and pharmacy costs. An explanation of benefits, often called an EOB, explains what was billed, what the insurer allowed, what the insurer paid, and what the patient may owe. These events are scattered, arriving from providers, insurers, pharmacies, online portals, paper mail, and employer benefit programs, and employees often cannot reconstruct what happened. They may not know whether a bill is correct, whether a denial can be appealed, whether a benefit already exists for their problem, or whether a lower-cost care path is available.</w:t>
      </w:r>
    </w:p>
    <w:p w14:paraId="25CECC76" w14:textId="77777777" w:rsidR="003B2D73" w:rsidRDefault="00000000">
      <w:pPr>
        <w:spacing w:after="160" w:line="276" w:lineRule="auto"/>
        <w:jc w:val="both"/>
      </w:pPr>
      <w:r>
        <w:t>Billing data is administrative, but it is also a record of economic reality. It shows what care was sought, what was paid, what was denied, and what the employee was asked to pay — in short, where the benefit design failed the person. For this reason, an employee-controlled billing and benefits account is valuable well before any employer analytics use. The account can organize bills, track deductible and out-of-pocket progress, preserve claim history across jobs and insurers, support appeals, match the employee to benefits, and create a governed data layer that the employee controls.</w:t>
      </w:r>
    </w:p>
    <w:p w14:paraId="09869CB1" w14:textId="77777777" w:rsidR="003B2D73" w:rsidRDefault="00000000">
      <w:pPr>
        <w:pStyle w:val="Heading1"/>
      </w:pPr>
      <w:r>
        <w:t xml:space="preserve">4. The day-one wedge: </w:t>
      </w:r>
      <w:proofErr w:type="spellStart"/>
      <w:r>
        <w:t>Phoros</w:t>
      </w:r>
      <w:proofErr w:type="spellEnd"/>
      <w:r>
        <w:t xml:space="preserve"> as the employee’s agent against their own bills</w:t>
      </w:r>
    </w:p>
    <w:p w14:paraId="0C35F344" w14:textId="67684204" w:rsidR="003B2D73" w:rsidRDefault="00000000">
      <w:pPr>
        <w:spacing w:after="160" w:line="276" w:lineRule="auto"/>
        <w:jc w:val="both"/>
      </w:pPr>
      <w:r>
        <w:t xml:space="preserve">The employee’s most urgent job is not shopping for care but defending against and recovering from a billing system that is opaque, error-prone, and quick to deny. </w:t>
      </w:r>
      <w:proofErr w:type="spellStart"/>
      <w:r>
        <w:t>Phoros</w:t>
      </w:r>
      <w:proofErr w:type="spellEnd"/>
      <w:r>
        <w:t xml:space="preserve"> is the employee’s agent in that fight, and everything the fight requires is already in hand on day one: the employee’s own bills, EOBs, denials, and deductible position, together with the employer’s benefit catalog handed over at signing. No price database, no network, and no other enrolled employee is needed. This matters because the three markets that follow all depend on network density that does not exist at launch; the day-one wedge is what makes </w:t>
      </w:r>
      <w:proofErr w:type="spellStart"/>
      <w:r>
        <w:t>Phoros</w:t>
      </w:r>
      <w:proofErr w:type="spellEnd"/>
      <w:r>
        <w:t xml:space="preserve"> </w:t>
      </w:r>
      <w:r w:rsidR="00FE76B6">
        <w:t>profitable</w:t>
      </w:r>
      <w:r>
        <w:t xml:space="preserve"> before any network forms, and every interaction it drives deepens the state and trust those later markets require.</w:t>
      </w:r>
    </w:p>
    <w:p w14:paraId="0CC23DB1" w14:textId="77777777" w:rsidR="003B2D73" w:rsidRDefault="00000000">
      <w:pPr>
        <w:spacing w:after="160" w:line="276" w:lineRule="auto"/>
        <w:jc w:val="both"/>
      </w:pPr>
      <w:r>
        <w:t xml:space="preserve">On day one </w:t>
      </w:r>
      <w:proofErr w:type="spellStart"/>
      <w:r>
        <w:t>Phoros</w:t>
      </w:r>
      <w:proofErr w:type="spellEnd"/>
      <w:r>
        <w:t xml:space="preserve"> delivers five things from data already in hand. It provides comprehension, collapsing a pile of bills and EOBs into one picture of what was billed, what the plan allowed, what it paid, and what is truly owed. It provides error catching, flagging bill-versus-EOB mismatches, duplicate charges, and charges above the allowed amount — an internal-consistency check on documents in hand, not a price lookup. It provides denial triage and appeal, since denials sit in </w:t>
      </w:r>
      <w:r>
        <w:lastRenderedPageBreak/>
        <w:t>the EOB and appeal rights are general, and overturning a wrongful denial is high-dollar and the employee is motivated to fight it. It provides deductible tracking, arithmetic on the employee’s own data that answers how far they are from their out-of-pocket maximum. And it provides benefit matching, reading the billing pattern and pushing the relevant program to the employee — three visits for a condition the plan already covers navigation for — rather than asking them to search.</w:t>
      </w:r>
    </w:p>
    <w:p w14:paraId="12C55571" w14:textId="77777777" w:rsidR="003B2D73" w:rsidRDefault="00000000">
      <w:pPr>
        <w:spacing w:after="160" w:line="276" w:lineRule="auto"/>
        <w:jc w:val="both"/>
      </w:pPr>
      <w:r>
        <w:t xml:space="preserve">The employer’s reason to fund this is less obvious and must be taught. The naive read is that an employer paying for a tool that helps employees recover money is funding its own opposition. The insight is where a self-funded employer — one that pays its workers’ claims from its own funds — can </w:t>
      </w:r>
      <w:proofErr w:type="gramStart"/>
      <w:r>
        <w:t>actually save</w:t>
      </w:r>
      <w:proofErr w:type="gramEnd"/>
      <w:r>
        <w:t xml:space="preserve">. As a fiduciary it cannot simply underpay a valid claim, which is a breach, or overpay an error, which is waste; on any single claim the only move is correct. Errors run both ways, some overcharging the employee and some overbilling the plan, and </w:t>
      </w:r>
      <w:proofErr w:type="spellStart"/>
      <w:r>
        <w:t>Phoros</w:t>
      </w:r>
      <w:proofErr w:type="spellEnd"/>
      <w:r>
        <w:t xml:space="preserve"> fixes both, so employee and employer sit on the same side of the table, across from the conflicted middle — TPAs, PBMs, and providers — </w:t>
      </w:r>
      <w:proofErr w:type="gramStart"/>
      <w:r>
        <w:t>that profits</w:t>
      </w:r>
      <w:proofErr w:type="gramEnd"/>
      <w:r>
        <w:t xml:space="preserve"> from error. Real savings come one level up, from plan design: better contracts, cost-effective care paths, and cutting dead-weight vendors. Every reconciled bill, denial, and unused benefit is an unconflicted signal about where the plan fails, produced independently of the parties who profit from that failure, and benefit matching also drives utilization of sunk spend — programs the employer already pays for that no one uses.</w:t>
      </w:r>
    </w:p>
    <w:p w14:paraId="376B94FC" w14:textId="77777777" w:rsidR="003B2D73" w:rsidRDefault="00000000">
      <w:pPr>
        <w:spacing w:after="160" w:line="276" w:lineRule="auto"/>
        <w:jc w:val="both"/>
      </w:pPr>
      <w:r>
        <w:t xml:space="preserve">This is the right wedge because it inverts the deductible problem. Cost-shopping only motivates people who still bear marginal cost, so it goes silent for the high utilizers who have hit their out-of-pocket maximum — the sickest and most expensive members. Recovery does the reverse: the more bills and denials a person carries, the more </w:t>
      </w:r>
      <w:proofErr w:type="spellStart"/>
      <w:r>
        <w:t>Phoros</w:t>
      </w:r>
      <w:proofErr w:type="spellEnd"/>
      <w:r>
        <w:t xml:space="preserve"> is worth to them. That removes the seam in the strategy, because employee need, employer money, and later network intelligence all land on the same population — the high-cost, complex member in whom the plan’s spend concentrates and who has the most bills to defend. A shopping-led wedge would split day-one value (cheap routine care) from network value (expensive complex care) and need a bridge between two populations; the defense frame points all three forces at one, and that is why the pieces fit.</w:t>
      </w:r>
    </w:p>
    <w:p w14:paraId="353F6595" w14:textId="77777777" w:rsidR="003B2D73" w:rsidRDefault="00000000">
      <w:pPr>
        <w:spacing w:after="160" w:line="276" w:lineRule="auto"/>
        <w:jc w:val="both"/>
      </w:pPr>
      <w:r>
        <w:t xml:space="preserve">Two caveats keep the claim honest. Steerage is not wrong, only stage two: a feature like “the same scan runs $450 across town” needs a price layer — payer transparency files, or </w:t>
      </w:r>
      <w:proofErr w:type="spellStart"/>
      <w:r>
        <w:t>Phoros’s</w:t>
      </w:r>
      <w:proofErr w:type="spellEnd"/>
      <w:r>
        <w:t xml:space="preserve"> own accumulated corpus — that does not exist at launch, so it is a strong feature to add once trust is earned rather than one to launch on. And while detecting an error is automatable, resolving it — the phone call, the appeal — has a labor tail that sometimes needs a human; “we’ll help you appeal” erodes trust faster than it builds if left unkept, so it is an execution cost to price in, not a flaw in the thesis.</w:t>
      </w:r>
    </w:p>
    <w:p w14:paraId="5C28DD65" w14:textId="77777777" w:rsidR="003B2D73" w:rsidRDefault="00000000">
      <w:pPr>
        <w:pStyle w:val="Heading1"/>
      </w:pPr>
      <w:r>
        <w:t>5. The governing principle: patient direction over patient-level data</w:t>
      </w:r>
    </w:p>
    <w:p w14:paraId="26C2447C" w14:textId="77777777" w:rsidR="003B2D73" w:rsidRDefault="00000000">
      <w:pPr>
        <w:spacing w:after="160" w:line="276" w:lineRule="auto"/>
        <w:jc w:val="both"/>
      </w:pPr>
      <w:r>
        <w:t xml:space="preserve">This principle takes precedence over every other rule in this memo. Patient-level health data should not be accessed by any third party unless the patient, or the patient’s authorized representative, explicitly directs that access. Aggregate statistics may be produced without per-patient direction only when no third party receives patient-level data and the output satisfies </w:t>
      </w:r>
      <w:proofErr w:type="spellStart"/>
      <w:r>
        <w:t>Phoros’s</w:t>
      </w:r>
      <w:proofErr w:type="spellEnd"/>
      <w:r>
        <w:t xml:space="preserve"> privacy-preserving governance rules.</w:t>
      </w:r>
    </w:p>
    <w:p w14:paraId="05CA05E4" w14:textId="77777777" w:rsidR="003B2D73" w:rsidRDefault="00000000">
      <w:pPr>
        <w:spacing w:after="160" w:line="276" w:lineRule="auto"/>
        <w:jc w:val="both"/>
      </w:pPr>
      <w:r>
        <w:lastRenderedPageBreak/>
        <w:t xml:space="preserve">Patient-level data means a record shaped around one person. It includes identifiable records, but it also includes de-identified rows, because a de-identified row can still be patient-level data. Removing a name does not remove the person-shaped pattern of diagnoses, dates, procedures, costs, geography, insurer type, rare condition, or drug history. </w:t>
      </w:r>
      <w:proofErr w:type="spellStart"/>
      <w:r>
        <w:t>Phoros</w:t>
      </w:r>
      <w:proofErr w:type="spellEnd"/>
      <w:r>
        <w:t xml:space="preserve"> deliberately sets a higher bar than HIPAA here. HIPAA places no use or disclosure restrictions on health information once it is properly de-identified; </w:t>
      </w:r>
      <w:proofErr w:type="spellStart"/>
      <w:r>
        <w:t>Phoros</w:t>
      </w:r>
      <w:proofErr w:type="spellEnd"/>
      <w:r>
        <w:t xml:space="preserve"> rejects that lower bar and holds that de-identification alone does not permit third-party access to patient-level data.</w:t>
      </w:r>
    </w:p>
    <w:p w14:paraId="3250C230" w14:textId="77777777" w:rsidR="003B2D73" w:rsidRDefault="00000000">
      <w:pPr>
        <w:spacing w:after="160" w:line="276" w:lineRule="auto"/>
        <w:jc w:val="both"/>
      </w:pPr>
      <w:r>
        <w:t xml:space="preserve">The principle </w:t>
      </w:r>
      <w:proofErr w:type="gramStart"/>
      <w:r>
        <w:t>sorts</w:t>
      </w:r>
      <w:proofErr w:type="gramEnd"/>
      <w:r>
        <w:t xml:space="preserve"> access into two regimes rather than a single ranking. One regime covers patient-level data, which is authorized only by patient direction; the other covers aggregate data, which is governed by </w:t>
      </w:r>
      <w:proofErr w:type="spellStart"/>
      <w:r>
        <w:t>Phoros’s</w:t>
      </w:r>
      <w:proofErr w:type="spellEnd"/>
      <w:r>
        <w:t xml:space="preserve"> privacy-preserving governance rules. The patient-level regime has two cases. The first is patient access: the patient can always reach their own data, and an authorized representative can reach data within the scope of that authority, since such a representative generally stands in the patient’s shoes for access rights. The second is patient-directed sharing: a third party may access patient-level data — identifiable records and de-identified patient-level records alike — only when the patient directs it. Examples include sending claim history to a claims advocate, sharing a de-identified billing timeline with a research project, or letting a benefit vendor review relevant records to check eligibility. This is where transactions happen, and the patient is always the source of authority. This representative role is live from launch: when </w:t>
      </w:r>
      <w:proofErr w:type="spellStart"/>
      <w:r>
        <w:t>Phoros</w:t>
      </w:r>
      <w:proofErr w:type="spellEnd"/>
      <w:r>
        <w:t xml:space="preserve"> helps a patient appeal a denial or dispute a bill, it acts within the patient’s direction and, where needed, as an authorized representative, so the standard governing that role should be designed for real use, not treated as hypothetical.</w:t>
      </w:r>
    </w:p>
    <w:p w14:paraId="5F36746B" w14:textId="77777777" w:rsidR="003B2D73" w:rsidRDefault="00000000">
      <w:pPr>
        <w:spacing w:after="160" w:line="276" w:lineRule="auto"/>
        <w:jc w:val="both"/>
      </w:pPr>
      <w:r>
        <w:t xml:space="preserve">The aggregate regime, by contrast, has a single rule. Because </w:t>
      </w:r>
      <w:proofErr w:type="spellStart"/>
      <w:r>
        <w:t>Phoros</w:t>
      </w:r>
      <w:proofErr w:type="spellEnd"/>
      <w:r>
        <w:t xml:space="preserve"> already holds the individual’s data under its contract with that individual, producing a statistic over that data is not itself third-party access; the event the principle governs is the disclosure of an aggregate output to a third party. </w:t>
      </w:r>
      <w:proofErr w:type="spellStart"/>
      <w:r>
        <w:t>Phoros</w:t>
      </w:r>
      <w:proofErr w:type="spellEnd"/>
      <w:r>
        <w:t xml:space="preserve"> may make such a disclosure without per-patient direction only when two conditions hold together: no third party receives patient-level data, and the output satisfies </w:t>
      </w:r>
      <w:proofErr w:type="spellStart"/>
      <w:r>
        <w:t>Phoros’s</w:t>
      </w:r>
      <w:proofErr w:type="spellEnd"/>
      <w:r>
        <w:t xml:space="preserve"> privacy-preserving governance rules — minimum cell sizes, cell suppression, purpose review, query logging, protection against differencing and reconstruction, and auditability. Both conditions are required, because a statistic can still expose an individual when cohorts are small or when queries can be differenced. The requester’s identity does not change the rule: whether the requester is the sponsoring employer, an outside vendor, a researcher, or another approved party, it receives a statistic, not a row. Typical outputs include a count of eligible members, average out-of-pocket burden, the distribution of denied claims, or projected demand for a benefit program.</w:t>
      </w:r>
    </w:p>
    <w:p w14:paraId="471D0390" w14:textId="77777777" w:rsidR="003B2D73" w:rsidRDefault="00000000">
      <w:pPr>
        <w:pStyle w:val="Heading1"/>
      </w:pPr>
      <w:r>
        <w:t>6. The trust constraint: employers need intelligence, not surveillance</w:t>
      </w:r>
    </w:p>
    <w:p w14:paraId="3F1E8B39" w14:textId="77777777" w:rsidR="003B2D73" w:rsidRDefault="00000000">
      <w:pPr>
        <w:spacing w:after="160" w:line="276" w:lineRule="auto"/>
        <w:jc w:val="both"/>
      </w:pPr>
      <w:r>
        <w:t xml:space="preserve">Following directly from the governing principle, the employer should not receive employee-level health data; it should receive governed answers to legitimate benefit-design questions. </w:t>
      </w:r>
      <w:proofErr w:type="spellStart"/>
      <w:r>
        <w:t>Phoros</w:t>
      </w:r>
      <w:proofErr w:type="spellEnd"/>
      <w:r>
        <w:t xml:space="preserve"> should make this privacy boundary visible in the product. Human resources should not see individual claims, managers should not see health information, and no employment, promotion, discipline, compensation, or termination decision should ever use </w:t>
      </w:r>
      <w:proofErr w:type="spellStart"/>
      <w:r>
        <w:t>Phoros</w:t>
      </w:r>
      <w:proofErr w:type="spellEnd"/>
      <w:r>
        <w:t xml:space="preserve"> data. Raw record export should not be the default product; aggregate outputs should use minimum cohort thresholds, </w:t>
      </w:r>
      <w:r>
        <w:lastRenderedPageBreak/>
        <w:t>small cells should be suppressed, high-risk queries should be reviewed, external requests should carry a stated purpose, and employees should be able to see a log of approved data uses.</w:t>
      </w:r>
    </w:p>
    <w:p w14:paraId="11CFD05E" w14:textId="77777777" w:rsidR="003B2D73" w:rsidRDefault="00000000">
      <w:pPr>
        <w:spacing w:after="160" w:line="276" w:lineRule="auto"/>
        <w:jc w:val="both"/>
      </w:pPr>
      <w:r>
        <w:t xml:space="preserve">Consistent with the hierarchy above, aggregate contribution is governed by system rules rather than by per-query patient approval, while patient-directed sharing and direct outreach still require the patient’s explicit direction. </w:t>
      </w:r>
      <w:proofErr w:type="spellStart"/>
      <w:r>
        <w:t>Phoros</w:t>
      </w:r>
      <w:proofErr w:type="spellEnd"/>
      <w:r>
        <w:t xml:space="preserve"> should act as a fiduciary-like agent for the individual: the employer funds the system, but the employee controls access to patient-level data. This architecture lets an employer improve its benefits without building an employee surveillance system.</w:t>
      </w:r>
    </w:p>
    <w:p w14:paraId="6C7964A3" w14:textId="77777777" w:rsidR="003B2D73" w:rsidRDefault="00000000">
      <w:pPr>
        <w:pStyle w:val="Heading1"/>
      </w:pPr>
      <w:r>
        <w:t xml:space="preserve">7. The </w:t>
      </w:r>
      <w:proofErr w:type="spellStart"/>
      <w:r>
        <w:t>Phoros</w:t>
      </w:r>
      <w:proofErr w:type="spellEnd"/>
      <w:r>
        <w:t xml:space="preserve"> object: longitudinal billing and benefits state</w:t>
      </w:r>
    </w:p>
    <w:p w14:paraId="0816ADCA" w14:textId="77777777" w:rsidR="003B2D73" w:rsidRDefault="00000000">
      <w:pPr>
        <w:spacing w:after="160" w:line="276" w:lineRule="auto"/>
        <w:jc w:val="both"/>
      </w:pPr>
      <w:r>
        <w:t>The core object is longitudinal billing and benefits state. Longitudinal means the state persists over time, following the person across providers, insurers, employers, and benefit vendors. The state should capture claims, EOBs, provider bills, and insurer payments, along with allowed amounts (the price the insurer or plan recognizes for a service) and patient responsibility (the amount assigned to the patient through deductible, co-pay, coinsurance, or uncovered charges).</w:t>
      </w:r>
    </w:p>
    <w:p w14:paraId="6915D980" w14:textId="77777777" w:rsidR="003B2D73" w:rsidRDefault="00000000">
      <w:pPr>
        <w:spacing w:after="160" w:line="276" w:lineRule="auto"/>
        <w:jc w:val="both"/>
      </w:pPr>
      <w:r>
        <w:t xml:space="preserve">It should also include the standard billing codes that make the data </w:t>
      </w:r>
      <w:proofErr w:type="spellStart"/>
      <w:r>
        <w:t>queryable</w:t>
      </w:r>
      <w:proofErr w:type="spellEnd"/>
      <w:r>
        <w:t>: Current Procedural Terminology codes (CPT codes), which describe medical services and procedures; Healthcare Common Procedure Coding System codes (HCPCS codes), which describe supplies, services, and procedures used in billing; International Classification of Diseases codes (ICD codes), which describe diagnoses and health conditions; and National Drug Codes (NDC codes), which identify drug products. Beyond codes, the state should include denials, prior authorization events, appeals, deductible and out-of-pocket trajectory, provider changes, insurer changes, and provenance — the source, time, and chain of evidence behind each fact.</w:t>
      </w:r>
    </w:p>
    <w:p w14:paraId="0645E968" w14:textId="77777777" w:rsidR="003B2D73" w:rsidRDefault="00000000">
      <w:pPr>
        <w:spacing w:after="160" w:line="276" w:lineRule="auto"/>
        <w:jc w:val="both"/>
      </w:pPr>
      <w:r>
        <w:t xml:space="preserve">Every source of this state is directed by the individual. </w:t>
      </w:r>
      <w:proofErr w:type="spellStart"/>
      <w:r>
        <w:t>Phoros</w:t>
      </w:r>
      <w:proofErr w:type="spellEnd"/>
      <w:r>
        <w:t xml:space="preserve"> requests records from covered entities — the individual’s health plan or insurer, their providers, and their pharmacies — under the individual’s HIPAA right of access. Where the payer offers a Patient Access API, the individual can connect it directly and claims and EOB data stream in without paperwork; because federal interoperability rules mandate that API only for Medicare Advantage, Medicaid, CHIP, and exchange plans — not employer-sponsored plans — an API is available for a given employer plan only when its carrier has chosen to build one, and </w:t>
      </w:r>
      <w:proofErr w:type="spellStart"/>
      <w:r>
        <w:t>Phoros</w:t>
      </w:r>
      <w:proofErr w:type="spellEnd"/>
      <w:r>
        <w:t xml:space="preserve"> otherwise falls back to a direct access request or a member-portal download. </w:t>
      </w:r>
      <w:proofErr w:type="spellStart"/>
      <w:r>
        <w:t>Phoros</w:t>
      </w:r>
      <w:proofErr w:type="spellEnd"/>
      <w:r>
        <w:t xml:space="preserve"> also absorbs the documents the individual already holds — bills, EOBs, and denial letters — which need no request because the material is already theirs.</w:t>
      </w:r>
    </w:p>
    <w:p w14:paraId="4317EF75" w14:textId="77777777" w:rsidR="003B2D73" w:rsidRDefault="00000000">
      <w:pPr>
        <w:spacing w:after="160" w:line="276" w:lineRule="auto"/>
        <w:jc w:val="both"/>
      </w:pPr>
      <w:proofErr w:type="spellStart"/>
      <w:r>
        <w:t>Phoros</w:t>
      </w:r>
      <w:proofErr w:type="spellEnd"/>
      <w:r>
        <w:t xml:space="preserve"> should not merely store files. It should turn fragmented billing events into durable, </w:t>
      </w:r>
      <w:proofErr w:type="spellStart"/>
      <w:r>
        <w:t>queryable</w:t>
      </w:r>
      <w:proofErr w:type="spellEnd"/>
      <w:r>
        <w:t>, governed state that is useful to employees, to employer benefit design, and to benefit creators, and that later becomes the basis for privacy-preserving search and outreach.</w:t>
      </w:r>
    </w:p>
    <w:p w14:paraId="084A2995" w14:textId="77777777" w:rsidR="003B2D73" w:rsidRDefault="00000000">
      <w:pPr>
        <w:pStyle w:val="Heading1"/>
      </w:pPr>
      <w:r>
        <w:t>8. First market: employer benefit intelligence</w:t>
      </w:r>
    </w:p>
    <w:p w14:paraId="2029F6F2" w14:textId="77777777" w:rsidR="003B2D73" w:rsidRDefault="00000000">
      <w:pPr>
        <w:spacing w:after="160" w:line="276" w:lineRule="auto"/>
        <w:jc w:val="both"/>
      </w:pPr>
      <w:r>
        <w:t xml:space="preserve">The first market is employer benefit intelligence. The buyer is the employer, and the need is to design next year’s benefits. The buyer wants more than cost reduction; it needs to understand what benefits should exist at all. </w:t>
      </w:r>
      <w:proofErr w:type="spellStart"/>
      <w:r>
        <w:t>Phoros</w:t>
      </w:r>
      <w:proofErr w:type="spellEnd"/>
      <w:r>
        <w:t xml:space="preserve"> helps the employer answer practical questions: which </w:t>
      </w:r>
      <w:r>
        <w:lastRenderedPageBreak/>
        <w:t>health problems create the greatest out-of-pocket burden, which services generate the most denied claims, which categories face the most prior authorization friction, and which specialty areas need navigation support. It also helps the employer see which existing programs are underused, which vendors appear to reduce employee burden versus merely shifting cost, which benefits should be added or removed, which contracts should be renegotiated, which employee groups need better support, and which benefits create measurable savings for the plan and measurable relief for employees.</w:t>
      </w:r>
    </w:p>
    <w:p w14:paraId="04F37623" w14:textId="77777777" w:rsidR="003B2D73" w:rsidRDefault="00000000">
      <w:pPr>
        <w:spacing w:after="160" w:line="276" w:lineRule="auto"/>
        <w:jc w:val="both"/>
      </w:pPr>
      <w:r>
        <w:t xml:space="preserve">Some of these questions cannot be answered from one employer’s population alone, because many high-value categories — oncology, fertility, rare disease, specialty pharmacy — are too rare inside a single workforce to study well. </w:t>
      </w:r>
      <w:proofErr w:type="spellStart"/>
      <w:r>
        <w:t>Phoros</w:t>
      </w:r>
      <w:proofErr w:type="spellEnd"/>
      <w:r>
        <w:t xml:space="preserve"> can therefore enrich the employer’s own view with cross-employer benchmarks. Crucially, the benchmark is the same governed, aggregate, privacy-preserving output described in section 5: the employer receives a statistic, not a row. The buyer and the need do not change; only the data scope widens, from the employer’s own population to a cross-employer comparison. This is product depth, not a new market. It also depends on network density — </w:t>
      </w:r>
      <w:proofErr w:type="spellStart"/>
      <w:r>
        <w:t>Phoros</w:t>
      </w:r>
      <w:proofErr w:type="spellEnd"/>
      <w:r>
        <w:t xml:space="preserve"> can only offer cross-employer benchmarks once enough employers have joined — so this market builds first and deepens as the network grows.</w:t>
      </w:r>
    </w:p>
    <w:p w14:paraId="0B07D67D" w14:textId="77777777" w:rsidR="003B2D73" w:rsidRDefault="00000000">
      <w:pPr>
        <w:spacing w:after="160" w:line="276" w:lineRule="auto"/>
        <w:jc w:val="both"/>
      </w:pPr>
      <w:r>
        <w:t xml:space="preserve">This use case should come before private solicitation, because program design is less intrusive than targeted outreach and because it creates the very reason outreach later matters. The employer first discovers a real problem, then funds a program to address it, and only then does </w:t>
      </w:r>
      <w:proofErr w:type="spellStart"/>
      <w:r>
        <w:t>Phoros</w:t>
      </w:r>
      <w:proofErr w:type="spellEnd"/>
      <w:r>
        <w:t xml:space="preserve"> help reach eligible people without exposing them. The first paid product could be a benefits intelligence report for the annual renewal cycle, using only governed, aggregate outputs while also delivering employee-facing value such as bill organization and benefit matching. That combination builds trust and adoption at the same time.</w:t>
      </w:r>
    </w:p>
    <w:p w14:paraId="46BC2E9C" w14:textId="77777777" w:rsidR="003B2D73" w:rsidRDefault="00000000">
      <w:pPr>
        <w:pStyle w:val="Heading1"/>
      </w:pPr>
      <w:r>
        <w:t>9. Second market: non-sponsor benefit intelligence</w:t>
      </w:r>
    </w:p>
    <w:p w14:paraId="3C54EF2A" w14:textId="77777777" w:rsidR="003B2D73" w:rsidRDefault="00000000">
      <w:pPr>
        <w:spacing w:after="160" w:line="276" w:lineRule="auto"/>
        <w:jc w:val="both"/>
      </w:pPr>
      <w:r>
        <w:t xml:space="preserve">The second market is genuinely different, because the buyer changes. Here the buyer is not the sponsoring employer but a party that wants intelligence about a population it does not employ and did not fund — a benefit vendor, broker (a party that helps employers buy and manage benefits), consultant, provider, nonprofit, public program, employer coalition, or researcher. Their need differs from the employer’s: they want to size, design, or target a program for a population they serve but do not sponsor. This is the market that makes </w:t>
      </w:r>
      <w:proofErr w:type="spellStart"/>
      <w:r>
        <w:t>Phoros</w:t>
      </w:r>
      <w:proofErr w:type="spellEnd"/>
      <w:r>
        <w:t xml:space="preserve"> a two-sided network.</w:t>
      </w:r>
    </w:p>
    <w:p w14:paraId="2167E597" w14:textId="77777777" w:rsidR="003B2D73" w:rsidRDefault="00000000">
      <w:pPr>
        <w:spacing w:after="160" w:line="276" w:lineRule="auto"/>
        <w:jc w:val="both"/>
      </w:pPr>
      <w:r>
        <w:t xml:space="preserve">The mechanism is a governed request layer across the network. An approved requester submits a question that defines the population, variables, purpose, and output format; </w:t>
      </w:r>
      <w:proofErr w:type="spellStart"/>
      <w:r>
        <w:t>Phoros</w:t>
      </w:r>
      <w:proofErr w:type="spellEnd"/>
      <w:r>
        <w:t xml:space="preserve"> evaluates it against policy; and because aggregate contribution runs under system rules, it needs no per-patient approval for each query. The requester receives aggregate or anonymized outputs and never receives raw records, identities, or knowledge of which named employee contributed. Outputs may describe distributions, counts, rates, costs, denials, time delays, and benefit gaps, and may compare populations by region, industry, plan type, employer size, or benefit design. This same request layer also produces the cross-employer benchmarks sold to employers in section 8; the difference between the two markets is the buyer, not the mechanism.</w:t>
      </w:r>
    </w:p>
    <w:p w14:paraId="29DFA8B3" w14:textId="77777777" w:rsidR="003B2D73" w:rsidRDefault="00000000">
      <w:pPr>
        <w:spacing w:after="160" w:line="276" w:lineRule="auto"/>
        <w:jc w:val="both"/>
      </w:pPr>
      <w:r>
        <w:lastRenderedPageBreak/>
        <w:t xml:space="preserve">The product is a benefit design network that rejects the conventional data brokerage model, letting benefit </w:t>
      </w:r>
      <w:proofErr w:type="gramStart"/>
      <w:r>
        <w:t>creators</w:t>
      </w:r>
      <w:proofErr w:type="gramEnd"/>
      <w:r>
        <w:t xml:space="preserve"> study unmet need before building or buying a program. A cancer navigation program may need evidence from thousands of people across many employers; a fertility benefit may need demographic and cost evidence across different plan designs; a rare disease program may need data from many institutions; a specialty pharmacy program may need enough drug exposure to compare patterns; and a claims-appeal program may need denial evidence across insurers. The network also lets employees contribute aggregate evidence to improve benefits beyond their own employer — a contribution that is disclosed to them and governed by policy, with any move from aggregate evidence to patient-level access still requiring the patient’s direction. Because this market depends on network density, it follows the employer market rather than leading it.</w:t>
      </w:r>
    </w:p>
    <w:p w14:paraId="0457A283" w14:textId="77777777" w:rsidR="003B2D73" w:rsidRDefault="00000000">
      <w:pPr>
        <w:pStyle w:val="Heading1"/>
      </w:pPr>
      <w:r>
        <w:t>10. Third market: benefit activation</w:t>
      </w:r>
    </w:p>
    <w:p w14:paraId="31023A02" w14:textId="77777777" w:rsidR="003B2D73" w:rsidRDefault="00000000">
      <w:pPr>
        <w:spacing w:after="160" w:line="276" w:lineRule="auto"/>
        <w:jc w:val="both"/>
      </w:pPr>
      <w:r>
        <w:t xml:space="preserve">Private solicitation should come after program design. First </w:t>
      </w:r>
      <w:proofErr w:type="spellStart"/>
      <w:r>
        <w:t>Phoros</w:t>
      </w:r>
      <w:proofErr w:type="spellEnd"/>
      <w:r>
        <w:t xml:space="preserve"> helps discover need; second, the employer or benefit creator designs a program; third, </w:t>
      </w:r>
      <w:proofErr w:type="spellStart"/>
      <w:r>
        <w:t>Phoros</w:t>
      </w:r>
      <w:proofErr w:type="spellEnd"/>
      <w:r>
        <w:t xml:space="preserve"> identifies eligible people inside the governed state layer; fourth, </w:t>
      </w:r>
      <w:proofErr w:type="spellStart"/>
      <w:r>
        <w:t>Phoros</w:t>
      </w:r>
      <w:proofErr w:type="spellEnd"/>
      <w:r>
        <w:t xml:space="preserve"> privately notifies those people; fifth, the individual chooses whether to engage; sixth, </w:t>
      </w:r>
      <w:proofErr w:type="spellStart"/>
      <w:r>
        <w:t>Phoros</w:t>
      </w:r>
      <w:proofErr w:type="spellEnd"/>
      <w:r>
        <w:t xml:space="preserve"> measures aggregate outcomes; and seventh, that evidence informs the next benefit cycle.</w:t>
      </w:r>
    </w:p>
    <w:p w14:paraId="3D781DF7" w14:textId="77777777" w:rsidR="003B2D73" w:rsidRDefault="00000000">
      <w:pPr>
        <w:spacing w:after="160" w:line="276" w:lineRule="auto"/>
        <w:jc w:val="both"/>
      </w:pPr>
      <w:r>
        <w:t xml:space="preserve">Crucially, the employer or vendor should not receive the eligible list. </w:t>
      </w:r>
      <w:proofErr w:type="spellStart"/>
      <w:r>
        <w:t>Phoros</w:t>
      </w:r>
      <w:proofErr w:type="spellEnd"/>
      <w:r>
        <w:t xml:space="preserve"> can deliver the message inside the employee account, explaining why the person may qualify, who sponsors the program, and what data would be shared if the person accepts. The person can ignore, decline, accept, or ask for more detail, and identity is disclosed only after consent. Data sharing should be scoped, so the person may share only contact information, only a relevant billing fact, a limited claim history, or a full record packet if needed. Private activation turns benefit intelligence into employee value and gives benefit creators a better distribution channel — a channel that exists precisely because the trust layer exists.</w:t>
      </w:r>
    </w:p>
    <w:p w14:paraId="44227242" w14:textId="77777777" w:rsidR="003B2D73" w:rsidRDefault="00000000">
      <w:pPr>
        <w:pStyle w:val="Heading1"/>
      </w:pPr>
      <w:r>
        <w:t>11. Business model</w:t>
      </w:r>
    </w:p>
    <w:p w14:paraId="78862C88" w14:textId="77777777" w:rsidR="003B2D73" w:rsidRDefault="00000000">
      <w:pPr>
        <w:spacing w:after="160" w:line="276" w:lineRule="auto"/>
        <w:jc w:val="both"/>
      </w:pPr>
      <w:r>
        <w:t xml:space="preserve">The business model should separate the base network from network transactions. The base revenue line is employer payment per employee per month, often called PEPM: the employer pays PEPM to give workers a </w:t>
      </w:r>
      <w:proofErr w:type="spellStart"/>
      <w:r>
        <w:t>Phoros</w:t>
      </w:r>
      <w:proofErr w:type="spellEnd"/>
      <w:r>
        <w:t xml:space="preserve"> billing and benefits account, </w:t>
      </w:r>
      <w:proofErr w:type="gramStart"/>
      <w:r>
        <w:t>and also</w:t>
      </w:r>
      <w:proofErr w:type="gramEnd"/>
      <w:r>
        <w:t xml:space="preserve"> pays for aggregate benefit intelligence during planning and renewal. This base line has to stand on its own on day one, before any network, query, or activation revenue exists; it is justified by per-employee value alone — bill comprehension, error catching, denial appeal, deductible tracking, and benefit matching — plus per-claim accuracy that protects the self-funded plan’s own dollars. The remaining lines layer on as the network forms. The second revenue line is paid aggregate queries, in which employers, consultants, vendors, coalitions, providers, nonprofits, or public programs pay for approved anonymized intelligence requests; because these queries need no per-patient opt-in, this line scales without collecting individual consent for each request.</w:t>
      </w:r>
    </w:p>
    <w:p w14:paraId="4E676673" w14:textId="77777777" w:rsidR="003B2D73" w:rsidRDefault="00000000">
      <w:pPr>
        <w:spacing w:after="160" w:line="276" w:lineRule="auto"/>
        <w:jc w:val="both"/>
      </w:pPr>
      <w:r>
        <w:t xml:space="preserve">The third revenue line is activation, where a sponsor pays when </w:t>
      </w:r>
      <w:proofErr w:type="spellStart"/>
      <w:r>
        <w:t>Phoros</w:t>
      </w:r>
      <w:proofErr w:type="spellEnd"/>
      <w:r>
        <w:t xml:space="preserve"> privately offers a program to eligible employees, with a fee structured per campaign, per eligible notification, per opt-in, or per completed enrollment. The fourth line is transaction support, covering consented data </w:t>
      </w:r>
      <w:r>
        <w:lastRenderedPageBreak/>
        <w:t xml:space="preserve">transfer, appointment scheduling, benefit enrollment, claims appeal support, or vendor handoff. The fifth line is measurement, where sponsors pay </w:t>
      </w:r>
      <w:proofErr w:type="spellStart"/>
      <w:r>
        <w:t>Phoros</w:t>
      </w:r>
      <w:proofErr w:type="spellEnd"/>
      <w:r>
        <w:t xml:space="preserve"> to measure aggregate outcomes after a program launches. The sixth line is employee premium service — not required for the first wedge — which might include bill review, appeal assistance, deductible planning, and advanced record portability.</w:t>
      </w:r>
    </w:p>
    <w:p w14:paraId="6FD22C28" w14:textId="77777777" w:rsidR="003B2D73" w:rsidRDefault="00000000">
      <w:pPr>
        <w:spacing w:after="160" w:line="276" w:lineRule="auto"/>
        <w:jc w:val="both"/>
      </w:pPr>
      <w:r>
        <w:t>The strategic model is simple: PEPM funds the base account network, query fees monetize cross-network intelligence, activation fees monetize consented outreach, and outcome measurement supports renewal and retention.</w:t>
      </w:r>
    </w:p>
    <w:p w14:paraId="6CF4E753" w14:textId="77777777" w:rsidR="003B2D73" w:rsidRDefault="00000000">
      <w:pPr>
        <w:pStyle w:val="Heading1"/>
      </w:pPr>
      <w:r>
        <w:t>12. Legal, privacy, and governance architecture</w:t>
      </w:r>
    </w:p>
    <w:p w14:paraId="0A5B5178" w14:textId="77777777" w:rsidR="003B2D73" w:rsidRDefault="00000000">
      <w:pPr>
        <w:spacing w:after="160" w:line="276" w:lineRule="auto"/>
        <w:jc w:val="both"/>
      </w:pPr>
      <w:r>
        <w:t xml:space="preserve">Governance here is product design, not a legal afterthought; it implements the governing principle in section 5. The legal posture depends on source, contract, and data flow, and </w:t>
      </w:r>
      <w:proofErr w:type="spellStart"/>
      <w:r>
        <w:t>Phoros</w:t>
      </w:r>
      <w:proofErr w:type="spellEnd"/>
      <w:r>
        <w:t xml:space="preserve"> may operate in different roles for different product lines. It may act as a business associate when it performs claims, data analysis, billing, benefit management, or related functions for a covered entity — a category that includes health plans, health care clearinghouses, and covered health care providers. Protected health information, often called PHI, is identifiable health information held or transmitted by a covered entity or business associate. </w:t>
      </w:r>
      <w:proofErr w:type="spellStart"/>
      <w:r>
        <w:t>Phoros</w:t>
      </w:r>
      <w:proofErr w:type="spellEnd"/>
      <w:r>
        <w:t xml:space="preserve"> may also receive data directly from individuals, and that consumer-side flow may trigger different obligations from the Health Insurance Portability and Accountability Act (HIPAA), as well as Federal Trade Commission rules, state privacy laws, contract duties, and health breach notification duties. Counsel should map each launch path before implementation.</w:t>
      </w:r>
    </w:p>
    <w:p w14:paraId="6C5114E0" w14:textId="77777777" w:rsidR="003B2D73" w:rsidRDefault="00000000">
      <w:pPr>
        <w:spacing w:after="160" w:line="276" w:lineRule="auto"/>
        <w:jc w:val="both"/>
      </w:pPr>
      <w:r>
        <w:t xml:space="preserve">The employer and the group health plan should be kept separate. A group health plan may disclose summary health information to a plan sponsor for premium bids or plan modification, and a plan sponsor may receive PHI for plan administration only under restrictions, including a bar on employment-related use. </w:t>
      </w:r>
      <w:proofErr w:type="spellStart"/>
      <w:r>
        <w:t>Phoros</w:t>
      </w:r>
      <w:proofErr w:type="spellEnd"/>
      <w:r>
        <w:t xml:space="preserve"> should design for a stronger wall than the minimum legal rule: the default output should be aggregate, </w:t>
      </w:r>
      <w:proofErr w:type="spellStart"/>
      <w:r>
        <w:t>thresholded</w:t>
      </w:r>
      <w:proofErr w:type="spellEnd"/>
      <w:r>
        <w:t>, purpose-limited, and audited.</w:t>
      </w:r>
    </w:p>
    <w:p w14:paraId="7D9ABC9F" w14:textId="77777777" w:rsidR="003B2D73" w:rsidRDefault="00000000">
      <w:pPr>
        <w:spacing w:after="160" w:line="276" w:lineRule="auto"/>
        <w:jc w:val="both"/>
      </w:pPr>
      <w:r>
        <w:t xml:space="preserve">De-identification should use recognized methods. HIPAA recognizes Expert Determination and Safe Harbor. Expert Determination requires a qualified expert to determine that re-identification risk is very small in the context of the anticipated recipient, while Safe Harbor requires removal of specified identifiers and no actual knowledge that the remaining data can identify the person. </w:t>
      </w:r>
      <w:proofErr w:type="spellStart"/>
      <w:r>
        <w:t>Phoros</w:t>
      </w:r>
      <w:proofErr w:type="spellEnd"/>
      <w:r>
        <w:t xml:space="preserve"> should treat de-identification as risk reduction, not magic. De-identification alone does not permit third-party access to patient-level data, because a de-identified row can still be a person-shaped record; third-party access to that row still requires patient direction under section 5.</w:t>
      </w:r>
    </w:p>
    <w:p w14:paraId="34432B81" w14:textId="77777777" w:rsidR="003B2D73" w:rsidRDefault="00000000">
      <w:pPr>
        <w:spacing w:after="160" w:line="276" w:lineRule="auto"/>
        <w:jc w:val="both"/>
      </w:pPr>
      <w:r>
        <w:t>Cross-employer queries need extra protection. Minimum cell sizes should be enforced, rare condition queries should receive special review, and geographic, employer, salary, and demographic combinations should be constrained. Repeated queries should be monitored for reconstruction risk. A differencing attack — an attempt to isolate one person by comparing the results of two overlapping queries — should be blocked, and differential privacy, which adds calibrated noise to outputs to limit what any single record contributes, should be used where useful. Outputs should be logged, employees should see how their data contributes, and employees should be able to set permissions by purpose for patient-directed sharing.</w:t>
      </w:r>
    </w:p>
    <w:p w14:paraId="0FE8C490" w14:textId="77777777" w:rsidR="003B2D73" w:rsidRDefault="00000000">
      <w:pPr>
        <w:spacing w:after="160" w:line="276" w:lineRule="auto"/>
        <w:jc w:val="both"/>
      </w:pPr>
      <w:r>
        <w:lastRenderedPageBreak/>
        <w:t xml:space="preserve">The governance model should prohibit employment-related use, raw-data resale, and re-identification attempts; it should require requester identity verification, purpose review, and auditability; and it should allow sanctions for misuse. </w:t>
      </w:r>
      <w:proofErr w:type="spellStart"/>
      <w:r>
        <w:t>Phoros’s</w:t>
      </w:r>
      <w:proofErr w:type="spellEnd"/>
      <w:r>
        <w:t xml:space="preserve"> mission-first governance can support this promise, and Class M protections can help prevent a future sale or control change that would turn the network into a surveillance or data brokerage system. The governance is part of the product, and it is what makes the business possible.</w:t>
      </w:r>
    </w:p>
    <w:p w14:paraId="6FC993D6" w14:textId="77777777" w:rsidR="003B2D73" w:rsidRDefault="00000000">
      <w:pPr>
        <w:pStyle w:val="Heading1"/>
      </w:pPr>
      <w:r>
        <w:t>13. Initial wedge and beachhead</w:t>
      </w:r>
    </w:p>
    <w:p w14:paraId="23397C8B" w14:textId="77777777" w:rsidR="003B2D73" w:rsidRDefault="00000000">
      <w:pPr>
        <w:spacing w:after="160" w:line="276" w:lineRule="auto"/>
        <w:jc w:val="both"/>
      </w:pPr>
      <w:r>
        <w:t>The best first wedge is the self-funded employer — an employer that pays employee health claims from its own funds, usually with administrative support from a TPA. These employers have stronger reasons to understand claims, vendors, PBMs, and benefit design, and many also face fiduciary pressure under the Employee Retirement Income Security Act (ERISA), the federal law that governs many private-sector employee benefit plans. The Department of Labor says fiduciary status depends on the functions performed for the plan, and that many employers sponsoring fully or partly self-funded group health plans exercise discretionary authority and therefore are fiduciaries. This creates a practical buyer pain: the employer needs a better process for plan oversight, better evidence for benefit decisions, and documentation of prudent decision-making — all while avoiding receipt of sensitive employee-level data.</w:t>
      </w:r>
    </w:p>
    <w:p w14:paraId="6F6BA773" w14:textId="77777777" w:rsidR="003B2D73" w:rsidRDefault="00000000">
      <w:pPr>
        <w:spacing w:after="160" w:line="276" w:lineRule="auto"/>
        <w:jc w:val="both"/>
      </w:pPr>
      <w:r>
        <w:t>First buyer personas include benefits leaders, chief financial officers, plan fiduciary committees, benefits consultants, employer coalitions, union benefit funds, public employer plans, universities, hospitals, and large nonprofits. The first product should be narrow. Strong candidates include an annual benefits intelligence report, an oncology and specialty pharmacy burden map, a denial and prior authorization burden report, a vendor return-on-investment review, an underused benefit detection report, or an employee billing wallet paired with aggregate insights. The strongest wedge may combine employee and employer value: employees get bill organization, benefit matching, and appeal support, while employers get aggregate evidence for the next renewal cycle — a combination that makes adoption easier.</w:t>
      </w:r>
    </w:p>
    <w:p w14:paraId="1003E782" w14:textId="77777777" w:rsidR="003B2D73" w:rsidRDefault="00000000">
      <w:pPr>
        <w:pStyle w:val="Heading1"/>
      </w:pPr>
      <w:r>
        <w:t xml:space="preserve">14. Why </w:t>
      </w:r>
      <w:proofErr w:type="spellStart"/>
      <w:r>
        <w:t>Phoros</w:t>
      </w:r>
      <w:proofErr w:type="spellEnd"/>
      <w:r>
        <w:t xml:space="preserve"> is different</w:t>
      </w:r>
    </w:p>
    <w:p w14:paraId="00D51BF4" w14:textId="77777777" w:rsidR="003B2D73" w:rsidRDefault="00000000">
      <w:pPr>
        <w:spacing w:after="160" w:line="276" w:lineRule="auto"/>
        <w:jc w:val="both"/>
      </w:pPr>
      <w:r>
        <w:t>Existing employer tools have structural limits. Insurer dashboards show the insurer’s view, TPA reports show the administrator’s view, and PBM reports show the drug-channel view. Broker reports often depend on vendor and carrier data, benefit navigation vendors usually focus on engagement and routing, claims warehouses focus on employer-side analytics, health data brokers focus on data access and sale, and employee engagement platforms focus on messaging.</w:t>
      </w:r>
    </w:p>
    <w:p w14:paraId="0A9E1C30" w14:textId="77777777" w:rsidR="003B2D73" w:rsidRDefault="00000000">
      <w:pPr>
        <w:spacing w:after="160" w:line="276" w:lineRule="auto"/>
        <w:jc w:val="both"/>
      </w:pPr>
      <w:proofErr w:type="spellStart"/>
      <w:r>
        <w:t>Phoros</w:t>
      </w:r>
      <w:proofErr w:type="spellEnd"/>
      <w:r>
        <w:t xml:space="preserve"> instead begins with the employee’s longitudinal state. It can ingest data from insurers, providers, and pharmacies at the individual’s direction and absorb the bills, EOBs, and denial letters the individual already holds; preserve provenance; persist across jobs; support employee use before employer analytics; generate aggregate intelligence without exposing identities; support cross-employer benefit design; activate programs through consented outreach; and later integrate clinical state with billing state. This creates a different category altogether: </w:t>
      </w:r>
      <w:proofErr w:type="spellStart"/>
      <w:r>
        <w:t>Phoros</w:t>
      </w:r>
      <w:proofErr w:type="spellEnd"/>
      <w:r>
        <w:t xml:space="preserve"> is an employee-controlled health-economic state layer for the benefits market, where health-economic state means the durable record of care, cost, payment, denial, benefit use, and financial exposure.</w:t>
      </w:r>
    </w:p>
    <w:p w14:paraId="6EAC07EC" w14:textId="77777777" w:rsidR="003B2D73" w:rsidRDefault="00000000">
      <w:pPr>
        <w:spacing w:after="160" w:line="276" w:lineRule="auto"/>
        <w:jc w:val="both"/>
      </w:pPr>
      <w:r>
        <w:lastRenderedPageBreak/>
        <w:t>The moat comes from trust, longitudinal state, governance, and network effects. Trust brings employees into the system, longitudinal state increases usefulness over time, governance makes requesters comfortable using the system, and network effects make cross-employer intelligence stronger as more employees participate.</w:t>
      </w:r>
    </w:p>
    <w:p w14:paraId="58B8CDB3" w14:textId="77777777" w:rsidR="003B2D73" w:rsidRDefault="00000000">
      <w:pPr>
        <w:pStyle w:val="Heading1"/>
      </w:pPr>
      <w:r>
        <w:t>15. Strategic end state</w:t>
      </w:r>
    </w:p>
    <w:p w14:paraId="44B82FE8" w14:textId="77777777" w:rsidR="003B2D73" w:rsidRDefault="00000000">
      <w:pPr>
        <w:spacing w:after="160" w:line="276" w:lineRule="auto"/>
        <w:jc w:val="both"/>
      </w:pPr>
      <w:r>
        <w:t xml:space="preserve">The end state is a privacy-preserving market for benefit intelligence and activation. Employees use </w:t>
      </w:r>
      <w:proofErr w:type="spellStart"/>
      <w:r>
        <w:t>Phoros</w:t>
      </w:r>
      <w:proofErr w:type="spellEnd"/>
      <w:r>
        <w:t xml:space="preserve"> to understand and control their billing and benefits history; employers use it to design better health programs; benefit creators use it to understand unmet need; vendors use it to reach eligible people with consent; and public programs and nonprofits use it to find populations that need support. Researchers may later use </w:t>
      </w:r>
      <w:proofErr w:type="spellStart"/>
      <w:r>
        <w:t>Phoros</w:t>
      </w:r>
      <w:proofErr w:type="spellEnd"/>
      <w:r>
        <w:t xml:space="preserve"> for governed, consented population evidence. The network becomes more valuable as it spans employers, insurers, providers, and benefit programs.</w:t>
      </w:r>
    </w:p>
    <w:p w14:paraId="6912B5FD" w14:textId="77777777" w:rsidR="003B2D73" w:rsidRDefault="00000000">
      <w:pPr>
        <w:spacing w:after="160" w:line="276" w:lineRule="auto"/>
        <w:jc w:val="both"/>
      </w:pPr>
      <w:r>
        <w:t xml:space="preserve">The core asset is governed, employee-controlled state. Claims data matters because it feeds that state, and the business should stay anchored in that distinction. </w:t>
      </w:r>
      <w:proofErr w:type="spellStart"/>
      <w:r>
        <w:t>Phoros</w:t>
      </w:r>
      <w:proofErr w:type="spellEnd"/>
      <w:r>
        <w:t xml:space="preserve"> should be paid because it helps employers build better benefits, trusted because it acts for individuals, and able to scale because cross-institution billing intelligence is more useful than isolated employer reporting. The long-term company becomes the neutral infrastructure layer between employees, employers, benefit creators, and health data sources.</w:t>
      </w:r>
    </w:p>
    <w:p>
      <w:pPr>
        <w:pStyle w:val="Heading1"/>
      </w:pPr>
      <w:r>
        <w:t>16. API-first provenance for employer-sponsored billing intelligence</w:t>
      </w:r>
    </w:p>
    <w:p>
      <w:pPr/>
      <w:r>
        <w:t>Phoros should make API access the default ingestion path. The employee directs the connection. The employer funds the account and supplies plan context. The employee remains the authority for patient-level data. This keeps the trust architecture intact while allowing regular, automated updates.</w:t>
      </w:r>
    </w:p>
    <w:p>
      <w:pPr/>
      <w:r>
        <w:t>The most important API target is the medical carrier, TPA, or PBM. That source sees the adjudicated claim: billed amount, allowed amount, paid amount, adjustment or denial reason, patient responsibility, deductible and out-of-pocket application, provider identifiers, service dates, and billing codes. For employer-sponsored plans, a carrier that already supports CMS-regulated Patient Access APIs may have the technical rails. Commercial-plan availability still must be tested per plan. MVP selection should favor employer groups whose carrier, TPA, or PBM already exposes usable member access.</w:t>
      </w:r>
    </w:p>
    <w:p>
      <w:pPr/>
      <w:r>
        <w:t>Provider APIs should be secondary. They add clinical context: encounters, procedures, diagnoses, medications, notes, and documents. That context helps group claims, explain why care occurred, match benefits, and assemble appeal support. Provider APIs often stop short of the provider revenue-cycle state. They are a weak backbone for balances, statements, payment plans, collection status, and cash-pay charges.</w:t>
      </w:r>
    </w:p>
    <w:p>
      <w:pPr/>
      <w:r>
        <w:t>The missing provider-side billing view is specific. The payer can usually say what the plan allowed, paid, denied, or assigned to the member. The provider can say what it is still asking the member to pay. Phoros needs both when possible. The first MVP can start with payer adjudication plus employee-uploaded provider bills and statements, then add deeper provider revenue-cycle feeds later.</w:t>
      </w:r>
    </w:p>
    <w:p>
      <w:pPr/>
      <w:r>
        <w:t>Every ingestion event should preserve provenance. Phoros should retain the raw API resource or artifact, compute a content hash, timestamp receipt, record the source system, record the authorization basis, and map every normalized fact back to source fields. Facts should carry a provenance tier: API-sourced, records-request delivery, portal export, employee upload, or Phoros inference. Inferences must point to the facts and rule versions that produced them.</w:t>
      </w:r>
    </w:p>
    <w:p>
      <w:pPr/>
      <w:r>
        <w:t>Recurring pulls should be explicit. The employee connects a source once, grants continuing access where the source supports it, and can revoke it inside Phoros. Phoros polls for updates, stores deltas, preserves prior versions, and flags stale or disconnected sources. The employee sees source status. The employer sees only governed aggregate outputs.</w:t>
      </w:r>
    </w:p>
    <w:p>
      <w:pPr/>
      <w:r>
        <w:t>With this design, the MVP becomes employee billing defense with employer-sponsored benefits intelligence. The employee gets reconciliation, error detection, denial triage, deductible tracking, and benefit matching. The employer gets aggregate evidence about burden, friction, underuse, and plan design. The same provenance system supports both sides without turning the employer into a holder of employee-level health data.</w:t>
      </w:r>
    </w:p>
    <w:p w14:paraId="0DDC9B88" w14:textId="77777777" w:rsidR="003B2D73" w:rsidRDefault="00000000">
      <w:pPr>
        <w:pStyle w:val="Heading1"/>
      </w:pPr>
      <w:r>
        <w:t>Source anchors</w:t>
      </w:r>
    </w:p>
    <w:p w14:paraId="6347641B" w14:textId="77777777" w:rsidR="003B2D73" w:rsidRDefault="00000000">
      <w:pPr>
        <w:spacing w:after="160" w:line="276" w:lineRule="auto"/>
        <w:jc w:val="both"/>
      </w:pPr>
      <w:r>
        <w:t>These sources anchor the memo’s legal and regulatory assumptions. Counsel should perform a full legal analysis before launch.</w:t>
      </w:r>
    </w:p>
    <w:p w14:paraId="44D84663" w14:textId="77777777" w:rsidR="003B2D73" w:rsidRDefault="00000000">
      <w:pPr>
        <w:pStyle w:val="ListParagraph"/>
        <w:numPr>
          <w:ilvl w:val="0"/>
          <w:numId w:val="3"/>
        </w:numPr>
        <w:spacing w:after="120"/>
      </w:pPr>
      <w:r>
        <w:t xml:space="preserve">The U.S. Department of Health and Human Services explains that the HIPAA Privacy Rule covers protected health information held or transmitted by covered entities and business </w:t>
      </w:r>
      <w:proofErr w:type="gramStart"/>
      <w:r>
        <w:t>associates, and</w:t>
      </w:r>
      <w:proofErr w:type="gramEnd"/>
      <w:r>
        <w:t xml:space="preserve"> defines protected health information to include identifiable information about payment for health care. Source: </w:t>
      </w:r>
      <w:hyperlink r:id="rId7" w:history="1">
        <w:r>
          <w:rPr>
            <w:rStyle w:val="Hyperlink"/>
          </w:rPr>
          <w:t>HHS, Summary of the HIPAA Privacy Rule</w:t>
        </w:r>
      </w:hyperlink>
      <w:r>
        <w:t>.</w:t>
      </w:r>
    </w:p>
    <w:p w14:paraId="381110FE" w14:textId="77777777" w:rsidR="003B2D73" w:rsidRDefault="00000000">
      <w:pPr>
        <w:pStyle w:val="ListParagraph"/>
        <w:numPr>
          <w:ilvl w:val="0"/>
          <w:numId w:val="3"/>
        </w:numPr>
        <w:spacing w:after="120"/>
      </w:pPr>
      <w:r>
        <w:t xml:space="preserve">HHS states that the Privacy Rule does not restrict the use or disclosure of de-identified health information; </w:t>
      </w:r>
      <w:proofErr w:type="spellStart"/>
      <w:r>
        <w:t>Phoros</w:t>
      </w:r>
      <w:proofErr w:type="spellEnd"/>
      <w:r>
        <w:t xml:space="preserve"> deliberately sets a higher bar than this baseline. Source: </w:t>
      </w:r>
      <w:hyperlink r:id="rId8" w:history="1">
        <w:r>
          <w:rPr>
            <w:rStyle w:val="Hyperlink"/>
          </w:rPr>
          <w:t>HHS, Guidance Regarding Methods for De-identification of Protected Health Information</w:t>
        </w:r>
      </w:hyperlink>
      <w:r>
        <w:t>.</w:t>
      </w:r>
    </w:p>
    <w:p w14:paraId="01C5AFA0" w14:textId="77777777" w:rsidR="003B2D73" w:rsidRDefault="00000000">
      <w:pPr>
        <w:pStyle w:val="ListParagraph"/>
        <w:numPr>
          <w:ilvl w:val="0"/>
          <w:numId w:val="3"/>
        </w:numPr>
        <w:spacing w:after="120"/>
      </w:pPr>
      <w:r>
        <w:t xml:space="preserve">HHS explains that a personal representative generally stands in the individual’s shoes for HIPAA rights, including the right of access. Source: </w:t>
      </w:r>
      <w:hyperlink r:id="rId9" w:history="1">
        <w:r>
          <w:rPr>
            <w:rStyle w:val="Hyperlink"/>
          </w:rPr>
          <w:t>HHS, Personal Representatives</w:t>
        </w:r>
      </w:hyperlink>
      <w:r>
        <w:t>.</w:t>
      </w:r>
    </w:p>
    <w:p w14:paraId="17EF4E51" w14:textId="77777777" w:rsidR="003B2D73" w:rsidRDefault="00000000">
      <w:pPr>
        <w:pStyle w:val="ListParagraph"/>
        <w:numPr>
          <w:ilvl w:val="0"/>
          <w:numId w:val="3"/>
        </w:numPr>
        <w:spacing w:after="120"/>
      </w:pPr>
      <w:r>
        <w:t xml:space="preserve">HHS describes group health plan disclosures to plan sponsors, including summary health information for premium bids or plan changes, and restrictions on using protected health information for employment-related decisions. Source: </w:t>
      </w:r>
      <w:hyperlink r:id="rId10" w:history="1">
        <w:r>
          <w:rPr>
            <w:rStyle w:val="Hyperlink"/>
          </w:rPr>
          <w:t>HHS, Summary of the HIPAA Privacy Rule</w:t>
        </w:r>
      </w:hyperlink>
      <w:r>
        <w:t>.</w:t>
      </w:r>
    </w:p>
    <w:p w14:paraId="529C2DF4" w14:textId="77777777" w:rsidR="003B2D73" w:rsidRDefault="00000000">
      <w:pPr>
        <w:pStyle w:val="ListParagraph"/>
        <w:numPr>
          <w:ilvl w:val="0"/>
          <w:numId w:val="3"/>
        </w:numPr>
        <w:spacing w:after="120"/>
      </w:pPr>
      <w:r>
        <w:t xml:space="preserve">HHS states that business associate functions can include claims processing, data analysis, billing, benefit management, and data aggregation when protected health information is involved. Source: </w:t>
      </w:r>
      <w:hyperlink r:id="rId11" w:history="1">
        <w:r>
          <w:rPr>
            <w:rStyle w:val="Hyperlink"/>
          </w:rPr>
          <w:t>HHS, Business Associates</w:t>
        </w:r>
      </w:hyperlink>
      <w:r>
        <w:t>.</w:t>
      </w:r>
    </w:p>
    <w:p w14:paraId="4C9BC0C8" w14:textId="77777777" w:rsidR="003B2D73" w:rsidRDefault="00000000">
      <w:pPr>
        <w:pStyle w:val="ListParagraph"/>
        <w:numPr>
          <w:ilvl w:val="0"/>
          <w:numId w:val="3"/>
        </w:numPr>
        <w:spacing w:after="120"/>
      </w:pPr>
      <w:r>
        <w:t xml:space="preserve">HHS describes HIPAA de-identification through Expert Determination and Safe Harbor. Source: </w:t>
      </w:r>
      <w:hyperlink r:id="rId12" w:history="1">
        <w:r>
          <w:rPr>
            <w:rStyle w:val="Hyperlink"/>
          </w:rPr>
          <w:t>HHS, Guidance Regarding Methods for De-identification of Protected Health Information</w:t>
        </w:r>
      </w:hyperlink>
      <w:r>
        <w:t>.</w:t>
      </w:r>
    </w:p>
    <w:p w14:paraId="0E3F9C04" w14:textId="77777777" w:rsidR="003B2D73" w:rsidRDefault="00000000">
      <w:pPr>
        <w:pStyle w:val="ListParagraph"/>
        <w:numPr>
          <w:ilvl w:val="0"/>
          <w:numId w:val="3"/>
        </w:numPr>
        <w:spacing w:after="120"/>
      </w:pPr>
      <w:r>
        <w:lastRenderedPageBreak/>
        <w:t xml:space="preserve">The U.S. Department of Labor explains that many employers sponsoring </w:t>
      </w:r>
      <w:proofErr w:type="gramStart"/>
      <w:r>
        <w:t>fully</w:t>
      </w:r>
      <w:proofErr w:type="gramEnd"/>
      <w:r>
        <w:t xml:space="preserve"> or partly self-funded group health plans exercise discretionary authority and therefore are fiduciaries, depending on plan structure and function. Source: </w:t>
      </w:r>
      <w:hyperlink r:id="rId13" w:history="1">
        <w:r>
          <w:rPr>
            <w:rStyle w:val="Hyperlink"/>
          </w:rPr>
          <w:t>DOL, Understanding Your Fiduciary Responsibilities Under a Group Health Plan</w:t>
        </w:r>
      </w:hyperlink>
      <w:r>
        <w:t>.</w:t>
      </w:r>
    </w:p>
    <w:p>
      <w:pPr>
        <w:pStyle w:val="ListParagraph"/>
        <w:numPr>
          <w:ilvl w:val="0"/>
          <w:numId w:val="3"/>
        </w:numPr>
        <w:spacing w:after="120"/>
      </w:pPr>
      <w:r>
        <w:t xml:space="preserve">CMS and HL7 anchor the API path: regulated payer Patient Access APIs give patients claims, encounter, and cost data through third-party apps; CMS-0057-F adds prior authorization data for impacted payers; and CARIN Blue Button defines payer EOB profiles for consumer-directed claims exchange. Sources: </w:t>
      </w:r>
      <w:hyperlink r:id="rId17">
        <w:r>
          <w:rPr>
            <w:color w:val="0563C1"/>
            <w:u w:val="single"/>
          </w:rPr>
          <w:t>CMS, Interoperability and Patient Access Fact Sheet</w:t>
        </w:r>
      </w:hyperlink>
      <w:r>
        <w:t xml:space="preserve">; </w:t>
      </w:r>
      <w:hyperlink r:id="rId18">
        <w:r>
          <w:rPr>
            <w:color w:val="0563C1"/>
            <w:u w:val="single"/>
          </w:rPr>
          <w:t>CMS, Interoperability and Prior Authorization Final Rule CMS-0057-F</w:t>
        </w:r>
      </w:hyperlink>
      <w:r>
        <w:t xml:space="preserve">; </w:t>
      </w:r>
      <w:hyperlink r:id="rId19">
        <w:r>
          <w:rPr>
            <w:color w:val="0563C1"/>
            <w:u w:val="single"/>
          </w:rPr>
          <w:t>HL7, CARIN Consumer Directed Payer Data Exchange</w:t>
        </w:r>
      </w:hyperlink>
      <w:r>
        <w:t>.</w:t>
      </w:r>
    </w:p>
    <w:sectPr w:rsidR="003B2D7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096D" w14:textId="77777777" w:rsidR="00DB5FEF" w:rsidRDefault="00DB5FEF">
      <w:r>
        <w:separator/>
      </w:r>
    </w:p>
  </w:endnote>
  <w:endnote w:type="continuationSeparator" w:id="0">
    <w:p w14:paraId="6E22E9EC" w14:textId="77777777" w:rsidR="00DB5FEF" w:rsidRDefault="00DB5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2624" w14:textId="77777777" w:rsidR="003B2D73" w:rsidRDefault="00000000">
    <w:pPr>
      <w:jc w:val="center"/>
    </w:pPr>
    <w:proofErr w:type="spellStart"/>
    <w:r>
      <w:rPr>
        <w:color w:val="888888"/>
        <w:sz w:val="18"/>
        <w:szCs w:val="18"/>
      </w:rPr>
      <w:t>Phoros</w:t>
    </w:r>
    <w:proofErr w:type="spellEnd"/>
    <w:r>
      <w:rPr>
        <w:color w:val="888888"/>
        <w:sz w:val="18"/>
        <w:szCs w:val="18"/>
      </w:rPr>
      <w:t xml:space="preserve"> Benefits Intelligence Strategy </w:t>
    </w:r>
    <w:proofErr w:type="gramStart"/>
    <w:r>
      <w:rPr>
        <w:color w:val="888888"/>
        <w:sz w:val="18"/>
        <w:szCs w:val="18"/>
      </w:rPr>
      <w:t>Memo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E76B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507F" w14:textId="77777777" w:rsidR="00DB5FEF" w:rsidRDefault="00DB5FEF">
      <w:r>
        <w:separator/>
      </w:r>
    </w:p>
  </w:footnote>
  <w:footnote w:type="continuationSeparator" w:id="0">
    <w:p w14:paraId="1C38D035" w14:textId="77777777" w:rsidR="00DB5FEF" w:rsidRDefault="00DB5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35A0"/>
    <w:multiLevelType w:val="hybridMultilevel"/>
    <w:tmpl w:val="1B46C3A4"/>
    <w:lvl w:ilvl="0" w:tplc="136086B4">
      <w:start w:val="1"/>
      <w:numFmt w:val="bullet"/>
      <w:lvlText w:val="●"/>
      <w:lvlJc w:val="left"/>
      <w:pPr>
        <w:ind w:left="720" w:hanging="360"/>
      </w:pPr>
    </w:lvl>
    <w:lvl w:ilvl="1" w:tplc="3D542590">
      <w:start w:val="1"/>
      <w:numFmt w:val="bullet"/>
      <w:lvlText w:val="○"/>
      <w:lvlJc w:val="left"/>
      <w:pPr>
        <w:ind w:left="1440" w:hanging="360"/>
      </w:pPr>
    </w:lvl>
    <w:lvl w:ilvl="2" w:tplc="6B564CD8">
      <w:start w:val="1"/>
      <w:numFmt w:val="bullet"/>
      <w:lvlText w:val="■"/>
      <w:lvlJc w:val="left"/>
      <w:pPr>
        <w:ind w:left="2160" w:hanging="360"/>
      </w:pPr>
    </w:lvl>
    <w:lvl w:ilvl="3" w:tplc="838C1EB8">
      <w:start w:val="1"/>
      <w:numFmt w:val="bullet"/>
      <w:lvlText w:val="●"/>
      <w:lvlJc w:val="left"/>
      <w:pPr>
        <w:ind w:left="2880" w:hanging="360"/>
      </w:pPr>
    </w:lvl>
    <w:lvl w:ilvl="4" w:tplc="C158F7BE">
      <w:start w:val="1"/>
      <w:numFmt w:val="bullet"/>
      <w:lvlText w:val="○"/>
      <w:lvlJc w:val="left"/>
      <w:pPr>
        <w:ind w:left="3600" w:hanging="360"/>
      </w:pPr>
    </w:lvl>
    <w:lvl w:ilvl="5" w:tplc="D514050E">
      <w:start w:val="1"/>
      <w:numFmt w:val="bullet"/>
      <w:lvlText w:val="■"/>
      <w:lvlJc w:val="left"/>
      <w:pPr>
        <w:ind w:left="4320" w:hanging="360"/>
      </w:pPr>
    </w:lvl>
    <w:lvl w:ilvl="6" w:tplc="298C3C5E">
      <w:start w:val="1"/>
      <w:numFmt w:val="bullet"/>
      <w:lvlText w:val="●"/>
      <w:lvlJc w:val="left"/>
      <w:pPr>
        <w:ind w:left="5040" w:hanging="360"/>
      </w:pPr>
    </w:lvl>
    <w:lvl w:ilvl="7" w:tplc="48B22724">
      <w:start w:val="1"/>
      <w:numFmt w:val="bullet"/>
      <w:lvlText w:val="●"/>
      <w:lvlJc w:val="left"/>
      <w:pPr>
        <w:ind w:left="5760" w:hanging="360"/>
      </w:pPr>
    </w:lvl>
    <w:lvl w:ilvl="8" w:tplc="18D877C8">
      <w:start w:val="1"/>
      <w:numFmt w:val="bullet"/>
      <w:lvlText w:val="●"/>
      <w:lvlJc w:val="left"/>
      <w:pPr>
        <w:ind w:left="6480" w:hanging="360"/>
      </w:pPr>
    </w:lvl>
  </w:abstractNum>
  <w:abstractNum w:abstractNumId="1" w15:restartNumberingAfterBreak="0">
    <w:nsid w:val="22887C3F"/>
    <w:multiLevelType w:val="hybridMultilevel"/>
    <w:tmpl w:val="A42C992A"/>
    <w:lvl w:ilvl="0" w:tplc="563A57BC">
      <w:start w:val="1"/>
      <w:numFmt w:val="bullet"/>
      <w:lvlText w:val="•"/>
      <w:lvlJc w:val="left"/>
      <w:pPr>
        <w:ind w:left="540" w:hanging="270"/>
      </w:pPr>
    </w:lvl>
    <w:lvl w:ilvl="1" w:tplc="3DBCD9F0">
      <w:numFmt w:val="decimal"/>
      <w:lvlText w:val=""/>
      <w:lvlJc w:val="left"/>
    </w:lvl>
    <w:lvl w:ilvl="2" w:tplc="6DA84A20">
      <w:numFmt w:val="decimal"/>
      <w:lvlText w:val=""/>
      <w:lvlJc w:val="left"/>
    </w:lvl>
    <w:lvl w:ilvl="3" w:tplc="00DC4896">
      <w:numFmt w:val="decimal"/>
      <w:lvlText w:val=""/>
      <w:lvlJc w:val="left"/>
    </w:lvl>
    <w:lvl w:ilvl="4" w:tplc="F790E7C4">
      <w:numFmt w:val="decimal"/>
      <w:lvlText w:val=""/>
      <w:lvlJc w:val="left"/>
    </w:lvl>
    <w:lvl w:ilvl="5" w:tplc="CB169C38">
      <w:numFmt w:val="decimal"/>
      <w:lvlText w:val=""/>
      <w:lvlJc w:val="left"/>
    </w:lvl>
    <w:lvl w:ilvl="6" w:tplc="99C228B4">
      <w:numFmt w:val="decimal"/>
      <w:lvlText w:val=""/>
      <w:lvlJc w:val="left"/>
    </w:lvl>
    <w:lvl w:ilvl="7" w:tplc="F39E7E10">
      <w:numFmt w:val="decimal"/>
      <w:lvlText w:val=""/>
      <w:lvlJc w:val="left"/>
    </w:lvl>
    <w:lvl w:ilvl="8" w:tplc="B62663AC">
      <w:numFmt w:val="decimal"/>
      <w:lvlText w:val=""/>
      <w:lvlJc w:val="left"/>
    </w:lvl>
  </w:abstractNum>
  <w:abstractNum w:abstractNumId="2" w15:restartNumberingAfterBreak="0">
    <w:nsid w:val="325C2D1A"/>
    <w:multiLevelType w:val="hybridMultilevel"/>
    <w:tmpl w:val="EE46A630"/>
    <w:lvl w:ilvl="0" w:tplc="FEE2D574">
      <w:start w:val="1"/>
      <w:numFmt w:val="decimal"/>
      <w:lvlText w:val="%1."/>
      <w:lvlJc w:val="left"/>
      <w:pPr>
        <w:ind w:left="720" w:hanging="360"/>
      </w:pPr>
    </w:lvl>
    <w:lvl w:ilvl="1" w:tplc="41D4E8E2">
      <w:numFmt w:val="decimal"/>
      <w:lvlText w:val=""/>
      <w:lvlJc w:val="left"/>
    </w:lvl>
    <w:lvl w:ilvl="2" w:tplc="AE8CDD8C">
      <w:numFmt w:val="decimal"/>
      <w:lvlText w:val=""/>
      <w:lvlJc w:val="left"/>
    </w:lvl>
    <w:lvl w:ilvl="3" w:tplc="D6620F2A">
      <w:numFmt w:val="decimal"/>
      <w:lvlText w:val=""/>
      <w:lvlJc w:val="left"/>
    </w:lvl>
    <w:lvl w:ilvl="4" w:tplc="4496C3EE">
      <w:numFmt w:val="decimal"/>
      <w:lvlText w:val=""/>
      <w:lvlJc w:val="left"/>
    </w:lvl>
    <w:lvl w:ilvl="5" w:tplc="1554AB92">
      <w:numFmt w:val="decimal"/>
      <w:lvlText w:val=""/>
      <w:lvlJc w:val="left"/>
    </w:lvl>
    <w:lvl w:ilvl="6" w:tplc="AED6D484">
      <w:numFmt w:val="decimal"/>
      <w:lvlText w:val=""/>
      <w:lvlJc w:val="left"/>
    </w:lvl>
    <w:lvl w:ilvl="7" w:tplc="62D2B168">
      <w:numFmt w:val="decimal"/>
      <w:lvlText w:val=""/>
      <w:lvlJc w:val="left"/>
    </w:lvl>
    <w:lvl w:ilvl="8" w:tplc="7E54FC3A">
      <w:numFmt w:val="decimal"/>
      <w:lvlText w:val=""/>
      <w:lvlJc w:val="left"/>
    </w:lvl>
  </w:abstractNum>
  <w:num w:numId="1" w16cid:durableId="810369453">
    <w:abstractNumId w:val="0"/>
    <w:lvlOverride w:ilvl="0">
      <w:startOverride w:val="1"/>
    </w:lvlOverride>
  </w:num>
  <w:num w:numId="2" w16cid:durableId="218438017">
    <w:abstractNumId w:val="2"/>
    <w:lvlOverride w:ilvl="0">
      <w:startOverride w:val="1"/>
    </w:lvlOverride>
  </w:num>
  <w:num w:numId="3" w16cid:durableId="1345130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73"/>
    <w:rsid w:val="003B2D73"/>
    <w:rsid w:val="00AA50BE"/>
    <w:rsid w:val="00DB5FEF"/>
    <w:rsid w:val="00FE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EE4C05"/>
  <w15:docId w15:val="{9B6611BB-8AB6-C242-950B-4498C5CA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2A4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2A4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hs.gov/hipaa/for-professionals/special-topics/de-identification/index.html" TargetMode="External"/><Relationship Id="rId13" Type="http://schemas.openxmlformats.org/officeDocument/2006/relationships/hyperlink" Target="https://www.dol.gov/agencies/ebsa/about-ebsa/our-activities/resource-center/publications/understanding-your-fiduciary-responsibilities-under-a-group-health-plan" TargetMode="External"/><Relationship Id="rId3" Type="http://schemas.openxmlformats.org/officeDocument/2006/relationships/settings" Target="settings.xml"/><Relationship Id="rId7" Type="http://schemas.openxmlformats.org/officeDocument/2006/relationships/hyperlink" Target="https://www.hhs.gov/hipaa/for-professionals/privacy/laws-regulations/index.html" TargetMode="External"/><Relationship Id="rId12" Type="http://schemas.openxmlformats.org/officeDocument/2006/relationships/hyperlink" Target="https://www.hhs.gov/hipaa/for-professionals/special-topics/de-identification/inde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hs.gov/hipaa/for-professionals/privacy/guidance/business-associates/index.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hhs.gov/hipaa/for-professionals/privacy/laws-regulations/index.html" TargetMode="External"/><Relationship Id="rId4" Type="http://schemas.openxmlformats.org/officeDocument/2006/relationships/webSettings" Target="webSettings.xml"/><Relationship Id="rId9" Type="http://schemas.openxmlformats.org/officeDocument/2006/relationships/hyperlink" Target="https://www.hhs.gov/hipaa/for-professionals/privacy/guidance/personal-representatives/index.html" TargetMode="External"/><Relationship Id="rId14" Type="http://schemas.openxmlformats.org/officeDocument/2006/relationships/footer" Target="footer1.xml"/><Relationship Id="rId17" Type="http://schemas.openxmlformats.org/officeDocument/2006/relationships/hyperlink" Target="https://www.cms.gov/newsroom/fact-sheets/interoperability-and-patient-access-fact-sheet" TargetMode="External"/><Relationship Id="rId18" Type="http://schemas.openxmlformats.org/officeDocument/2006/relationships/hyperlink" Target="https://www.cms.gov/newsroom/fact-sheets/cms-interoperability-prior-authorization-final-rule-cms-0057-f" TargetMode="External"/><Relationship Id="rId19" Type="http://schemas.openxmlformats.org/officeDocument/2006/relationships/hyperlink" Target="https://hl7.org/fhir/us/carin-bb/STU2/StructureDefinition-C4BB-ExplanationOfBenef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5215</Words>
  <Characters>29728</Characters>
  <Application>Microsoft Office Word</Application>
  <DocSecurity>0</DocSecurity>
  <Lines>247</Lines>
  <Paragraphs>69</Paragraphs>
  <ScaleCrop>false</ScaleCrop>
  <Company/>
  <LinksUpToDate>false</LinksUpToDate>
  <CharactersWithSpaces>34874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Marcus</cp:lastModifiedBy>
  <cp:revision>2</cp:revision>
  <dcterms:created xsi:type="dcterms:W3CDTF">2026-07-07T19:01:00Z</dcterms:created>
  <dcterms:modified xsi:type="dcterms:W3CDTF">2026-07-07T21:11:00Z</dcterms:modified>
</cp:coreProperties>
</file>