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b8e6beddd4dc4aa9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  <w:r/>
    </w:p>
    <w:p>
      <w:pPr>
        <w:spacing w:after="200"/>
        <w:jc w:val="center"/>
      </w:pPr>
      <w:r>
        <w:rPr>
          <w:rFonts w:ascii="Calibri" w:hAnsi="Calibri" w:eastAsia="Microsoft YaHei"/>
          <w:b/>
          <w:color w:val="2B579A"/>
          <w:spacing w:val="40"/>
          <w:sz w:val="72"/>
        </w:rPr>
        <w:t>桌面物品分类整理</w:t>
      </w:r>
    </w:p>
    <w:p>
      <w:pPr>
        <w:spacing w:after="600"/>
        <w:jc w:val="center"/>
      </w:pPr>
      <w:r>
        <w:rPr>
          <w:rFonts w:ascii="Calibri" w:hAnsi="Calibri" w:eastAsia="Microsoft YaHei"/>
          <w:color w:val="666666"/>
          <w:spacing w:val="20"/>
          <w:sz w:val="36"/>
        </w:rPr>
        <w:t>多模块协作任务设计文档</w:t>
      </w:r>
    </w:p>
    <w:p>
      <w:pPr>
        <w:spacing w:before="1200" w:after="200"/>
        <w:jc w:val="center"/>
      </w:pPr>
      <w:r>
        <w:rPr>
          <w:rFonts w:ascii="Calibri" w:hAnsi="Calibri" w:eastAsia="Microsoft YaHei"/>
          <w:color w:val="999999"/>
          <w:sz w:val="24"/>
        </w:rPr>
        <w:t>基于 Planner / Simulation / Project Management</w:t>
      </w:r>
    </w:p>
    <w:p>
      <w:pPr>
        <w:spacing w:after="200"/>
        <w:jc w:val="center"/>
      </w:pPr>
      <w:r>
        <w:rPr>
          <w:rFonts w:ascii="Calibri" w:hAnsi="Calibri" w:eastAsia="Microsoft YaHei"/>
          <w:color w:val="999999"/>
          <w:sz w:val="24"/>
        </w:rPr>
        <w:t>三模块协作的桌面物品分类整理任务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一、任务概述</w:t>
      </w:r>
      <w:r>
        <w:tab/>
      </w:r>
      <w:r>
        <w:t>1</w:t>
      </w:r>
    </w:p>
    <w:p>
      <w:pPr>
        <w:pStyle w:val="TOC1"/>
      </w:pPr>
      <w:r>
        <w:t>二、场景与物品</w:t>
      </w:r>
      <w:r>
        <w:tab/>
      </w:r>
      <w:r>
        <w:t>2</w:t>
      </w:r>
    </w:p>
    <w:p>
      <w:pPr>
        <w:pStyle w:val="TOC1"/>
      </w:pPr>
      <w:r>
        <w:t>三、任务分层架构</w:t>
      </w:r>
      <w:r>
        <w:tab/>
      </w:r>
      <w:r>
        <w:t>3</w:t>
      </w:r>
    </w:p>
    <w:p>
      <w:pPr>
        <w:pStyle w:val="TOC2"/>
      </w:pPr>
      <w:r>
        <w:t>3.1 第一层：简略指令</w:t>
      </w:r>
      <w:r>
        <w:tab/>
      </w:r>
      <w:r>
        <w:t>4</w:t>
      </w:r>
    </w:p>
    <w:p>
      <w:pPr>
        <w:pStyle w:val="TOC2"/>
      </w:pPr>
      <w:r>
        <w:t>3.2 第二层：子任务拆解</w:t>
      </w:r>
      <w:r>
        <w:tab/>
      </w:r>
      <w:r>
        <w:t>5</w:t>
      </w:r>
    </w:p>
    <w:p>
      <w:pPr>
        <w:pStyle w:val="TOC2"/>
      </w:pPr>
      <w:r>
        <w:t>3.3 第三层：三模块协作流程</w:t>
      </w:r>
      <w:r>
        <w:tab/>
      </w:r>
      <w:r>
        <w:t>6</w:t>
      </w:r>
    </w:p>
    <w:p>
      <w:pPr>
        <w:pStyle w:val="TOC1"/>
      </w:pPr>
      <w:r>
        <w:t>四、先决条件与约束</w:t>
      </w:r>
      <w:r>
        <w:tab/>
      </w:r>
      <w:r>
        <w:t>7</w:t>
      </w:r>
    </w:p>
    <w:p>
      <w:pPr>
        <w:pStyle w:val="TOC1"/>
      </w:pPr>
      <w:r>
        <w:t>五、三模块协作总结</w:t>
      </w:r>
      <w:r>
        <w:tab/>
      </w:r>
      <w:r>
        <w:t>8</w:t>
      </w:r>
    </w:p>
    <w:p>
      <w:pPr>
        <w:pStyle w:val="TOC1"/>
      </w:pPr>
      <w:r>
        <w:t>六、持续循环机制</w:t>
      </w:r>
      <w:r>
        <w:tab/>
      </w:r>
      <w:r>
        <w:t>9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一、任务概述</w:t>
      </w:r>
    </w:p>
    <w:p>
      <w:r>
        <w:t>本任务旨在通过机械臂对桌面上的散落物品进行分类整理，将其收纳到指定篮子中。任务涉及 Planner 模块（规划）、Simulation 模块（仿真验证）与 Project Management 模块（多线程优化）三个模块的协作处理。</w:t>
      </w:r>
    </w:p>
    <w:p>
      <w:r>
        <w:t>桌面物品包括食品类（香蕉、橘子）、杯具类（蓝色杯子、黄色杯子）以及工具类（剪刀、大食品盒），需分别放入三个对应篮子中。由于桌面物品呈密集排布状态，机械臂在抓取目标物品时可能受到周围物品的遮挡，需要三个模块协作处理遮挡感知、仿真验证与执行优化。</w:t>
      </w:r>
    </w:p>
    <w:p>
      <w:pPr>
        <w:pStyle w:val="Heading1"/>
      </w:pPr>
      <w:r>
        <w:t>二、场景与物品</w:t>
      </w:r>
    </w:p>
    <w:p>
      <w:pPr>
        <w:pStyle w:val="Heading2"/>
      </w:pPr>
      <w:r>
        <w:t>2.1 可用设施</w:t>
      </w:r>
    </w:p>
    <w:tbl>
      <w:tblPr>
        <w:tblW w:w="5000" w:type="pct"/>
        <w:tblBorders>
          <w:top w:val="single" w:color="2B579A" w:sz="8"/>
          <w:left w:val="nil"/>
          <w:bottom w:val="single" w:color="2B579A" w:sz="8"/>
          <w:right w:val="nil"/>
          <w:insideH w:val="single" w:color="B4C6E7" w:sz="4"/>
          <w:insideV w:val="nil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w="25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设施名称</w:t>
            </w:r>
          </w:p>
        </w:tc>
        <w:tc>
          <w:tcPr>
            <w:tcW w:w="25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位置</w:t>
            </w:r>
          </w:p>
        </w:tc>
        <w:tc>
          <w:tcPr>
            <w:tcW w:w="40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用途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篮子一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桌面右侧前排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收纳食品类物品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篮子二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桌面右侧中排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收纳杯具类物品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篮子三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桌面右侧后排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收纳工具类物品</w:t>
            </w:r>
          </w:p>
        </w:tc>
      </w:tr>
    </w:tbl>
    <w:p>
      <w:pPr>
        <w:pStyle w:val="Heading2"/>
      </w:pPr>
      <w:r>
        <w:t>2.2 桌面物品</w:t>
      </w:r>
    </w:p>
    <w:tbl>
      <w:tblPr>
        <w:tblW w:w="5000" w:type="pct"/>
        <w:tblBorders>
          <w:top w:val="single" w:color="2B579A" w:sz="8"/>
          <w:left w:val="nil"/>
          <w:bottom w:val="single" w:color="2B579A" w:sz="8"/>
          <w:right w:val="nil"/>
          <w:insideH w:val="single" w:color="B4C6E7" w:sz="4"/>
          <w:insideV w:val="nil"/>
        </w:tblBorders>
      </w:tblPr>
      <w:tblGrid>
        <w:gridCol w:w="3000"/>
        <w:gridCol w:w="2500"/>
        <w:gridCol w:w="3500"/>
      </w:tblGrid>
      <w:tr>
        <w:trPr>
          <w:tblHeader/>
        </w:trPr>
        <w:tc>
          <w:tcPr>
            <w:tcW w:w="30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物品名称</w:t>
            </w:r>
          </w:p>
        </w:tc>
        <w:tc>
          <w:tcPr>
            <w:tcW w:w="25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类别</w:t>
            </w:r>
          </w:p>
        </w:tc>
        <w:tc>
          <w:tcPr>
            <w:tcW w:w="35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目标篮子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香蕉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食品类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篮子一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橘子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食品类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篮子一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水杯一（蓝色）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杯具类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篮子二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水杯二（黄色）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杯具类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篮子二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剪刀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工具类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篮子三</w:t>
            </w:r>
          </w:p>
        </w:tc>
      </w:tr>
      <w:tr>
        <w:tc>
          <w:tcPr>
            <w:tcW w:w="3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大食品盒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工具类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篮子三</w:t>
            </w:r>
          </w:p>
        </w:tc>
      </w:tr>
    </w:tbl>
    <w:p>
      <w:pPr>
        <w:pStyle w:val="Heading2"/>
      </w:pPr>
      <w:r>
        <w:t>2.3 物品位置关系</w:t>
      </w:r>
    </w:p>
    <w:p>
      <w:r>
        <w:t>大食品盒位于香蕉和橘子的外侧，由于高度较高且与水果紧密相邻，机械臂夹爪从上方接近水果时可能会碰撞到大食品盒。此外，杯子也可能与水果相邻放置，形成额外的遮挡关系。水杯一和水杯二位于桌面左侧，剪刀位于桌面中央，均为独立放置。</w:t>
      </w:r>
    </w:p>
    <w:p>
      <w:pPr>
        <w:pStyle w:val="Heading1"/>
      </w:pPr>
      <w:r>
        <w:t>三、任务分层架构</w:t>
      </w:r>
    </w:p>
    <w:p>
      <w:r>
        <w:t>本任务采用三层架构设计，从简略指令到子任务拆解，再到三模块协作流程，逐层细化任务的执行粒度。</w:t>
      </w:r>
    </w:p>
    <w:p>
      <w:pPr>
        <w:pStyle w:val="Heading2"/>
      </w:pPr>
      <w:r>
        <w:t>3.1 第一层：简略指令</w:t>
      </w:r>
    </w:p>
    <w:p>
      <w:pPr>
        <w:pBdr>
          <w:left w:val="single" w:color="2B579A" w:sz="24"/>
        </w:pBdr>
        <w:shd w:val="clear" w:fill="F5F5F5"/>
        <w:spacing w:before="200" w:after="200"/>
        <w:ind w:left="720" w:right="720" w:firstLine="0"/>
      </w:pPr>
      <w:r>
        <w:rPr>
          <w:rFonts w:ascii="Calibri" w:hAnsi="Calibri" w:eastAsia="Microsoft YaHei"/>
          <w:i/>
          <w:color w:val="666666"/>
          <w:sz w:val="24"/>
        </w:rPr>
        <w:t>把食品放到篮子一，把杯子放到篮子二，把文具放到篮子三。</w:t>
      </w:r>
    </w:p>
    <w:p>
      <w:r>
        <w:t>该层以最简洁的自然语言表达任务目标，不涉及具体执行细节、遮挡关系或物品属性，仅明确分类目标与对应收纳位置。</w:t>
      </w:r>
    </w:p>
    <w:p>
      <w:pPr>
        <w:pStyle w:val="Heading2"/>
      </w:pPr>
      <w:r>
        <w:t>3.2 第二层：子任务拆解</w:t>
      </w:r>
    </w:p>
    <w:p>
      <w:r>
        <w:t>将简略指令拆解为可独立执行的子任务，每个子任务对应一个明确的分类目标：</w:t>
      </w:r>
    </w:p>
    <w:tbl>
      <w:tblPr>
        <w:tblW w:w="5000" w:type="pct"/>
        <w:tblBorders>
          <w:top w:val="single" w:color="2B579A" w:sz="8"/>
          <w:left w:val="nil"/>
          <w:bottom w:val="single" w:color="2B579A" w:sz="8"/>
          <w:right w:val="nil"/>
          <w:insideH w:val="single" w:color="B4C6E7" w:sz="4"/>
          <w:insideV w:val="nil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w="18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子任务编号</w:t>
            </w:r>
          </w:p>
        </w:tc>
        <w:tc>
          <w:tcPr>
            <w:tcW w:w="22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子任务名称</w:t>
            </w:r>
          </w:p>
        </w:tc>
        <w:tc>
          <w:tcPr>
            <w:tcW w:w="22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目标</w:t>
            </w:r>
          </w:p>
        </w:tc>
        <w:tc>
          <w:tcPr>
            <w:tcW w:w="28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说明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子任务一</w:t>
            </w:r>
          </w:p>
        </w:tc>
        <w:tc>
          <w:tcPr>
            <w:tcW w:w="22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食品入篮子一</w:t>
            </w:r>
          </w:p>
        </w:tc>
        <w:tc>
          <w:tcPr>
            <w:tcW w:w="22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香蕉、橘子</w:t>
            </w:r>
          </w:p>
        </w:tc>
        <w:tc>
          <w:tcPr>
            <w:tcW w:w="2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将食品类物品放入篮子一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子任务二</w:t>
            </w:r>
          </w:p>
        </w:tc>
        <w:tc>
          <w:tcPr>
            <w:tcW w:w="22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杯具入篮子二</w:t>
            </w:r>
          </w:p>
        </w:tc>
        <w:tc>
          <w:tcPr>
            <w:tcW w:w="22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水杯一、水杯二</w:t>
            </w:r>
          </w:p>
        </w:tc>
        <w:tc>
          <w:tcPr>
            <w:tcW w:w="2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将杯具类物品放入篮子二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子任务三</w:t>
            </w:r>
          </w:p>
        </w:tc>
        <w:tc>
          <w:tcPr>
            <w:tcW w:w="22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工具入篮子三</w:t>
            </w:r>
          </w:p>
        </w:tc>
        <w:tc>
          <w:tcPr>
            <w:tcW w:w="22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剪刀、大食品盒</w:t>
            </w:r>
          </w:p>
        </w:tc>
        <w:tc>
          <w:tcPr>
            <w:tcW w:w="2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将工具类物品放入篮子三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子任务四</w:t>
            </w:r>
          </w:p>
        </w:tc>
        <w:tc>
          <w:tcPr>
            <w:tcW w:w="22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持续监测收尾</w:t>
            </w:r>
          </w:p>
        </w:tc>
        <w:tc>
          <w:tcPr>
            <w:tcW w:w="22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桌面所有区域</w:t>
            </w:r>
          </w:p>
        </w:tc>
        <w:tc>
          <w:tcPr>
            <w:tcW w:w="2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扫描桌面直至完全清空</w:t>
            </w:r>
          </w:p>
        </w:tc>
      </w:tr>
    </w:tbl>
    <w:p>
      <w:pPr>
        <w:pStyle w:val="Heading2"/>
      </w:pPr>
      <w:r>
        <w:t>3.3 第三层：三模块协作流程</w:t>
      </w:r>
    </w:p>
    <w:p>
      <w:r>
        <w:t>该层详细描述 Planner 模块、Simulation 模块与 Project Management 模块的协作处理流程。</w:t>
      </w:r>
    </w:p>
    <w:p>
      <w:pPr>
        <w:pStyle w:val="Heading3"/>
      </w:pPr>
      <w:r>
        <w:t>3.3.1 Planner 模块 —— 中粒度任务序列</w:t>
      </w:r>
    </w:p>
    <w:p>
      <w:r>
        <w:t>Planner 模块接收第一层简略指令，按语义类别规划中粒度任务序列。该模块不感知物品间的空间遮挡关系，仅根据物品类别进行规划。</w:t>
      </w:r>
    </w:p>
    <w:p>
      <w:r>
        <w:t>Planner 模块输出的初始中粒度任务序列如下：</w:t>
      </w:r>
    </w:p>
    <w:tbl>
      <w:tblPr>
        <w:tblW w:w="5000" w:type="pct"/>
        <w:tblBorders>
          <w:top w:val="single" w:color="2B579A" w:sz="8"/>
          <w:left w:val="nil"/>
          <w:bottom w:val="single" w:color="2B579A" w:sz="8"/>
          <w:right w:val="nil"/>
          <w:insideH w:val="single" w:color="B4C6E7" w:sz="4"/>
          <w:insideV w:val="nil"/>
        </w:tblBorders>
      </w:tblPr>
      <w:tblGrid>
        <w:gridCol w:w="1500"/>
        <w:gridCol w:w="4000"/>
        <w:gridCol w:w="3500"/>
      </w:tblGrid>
      <w:tr>
        <w:trPr>
          <w:tblHeader/>
        </w:trPr>
        <w:tc>
          <w:tcPr>
            <w:tcW w:w="15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步骤</w:t>
            </w:r>
          </w:p>
        </w:tc>
        <w:tc>
          <w:tcPr>
            <w:tcW w:w="40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操作</w:t>
            </w:r>
          </w:p>
        </w:tc>
        <w:tc>
          <w:tcPr>
            <w:tcW w:w="35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条件</w:t>
            </w:r>
          </w:p>
        </w:tc>
      </w:tr>
      <w:tr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T1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抓取大食品盒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无</w:t>
            </w:r>
          </w:p>
        </w:tc>
      </w:tr>
      <w:tr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T2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将大食品盒放入篮子三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T1 完成</w:t>
            </w:r>
          </w:p>
        </w:tc>
      </w:tr>
      <w:tr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T3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抓取香蕉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无</w:t>
            </w:r>
          </w:p>
        </w:tc>
      </w:tr>
      <w:tr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T4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将香蕉放入篮子一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T3 完成</w:t>
            </w:r>
          </w:p>
        </w:tc>
      </w:tr>
      <w:tr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T5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抓取橘子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无</w:t>
            </w:r>
          </w:p>
        </w:tc>
      </w:tr>
      <w:tr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T6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将橘子放入篮子一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T5 完成</w:t>
            </w:r>
          </w:p>
        </w:tc>
      </w:tr>
      <w:tr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T7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抓取水杯一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无</w:t>
            </w:r>
          </w:p>
        </w:tc>
      </w:tr>
      <w:tr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T8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将水杯一放入篮子二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T7 完成</w:t>
            </w:r>
          </w:p>
        </w:tc>
      </w:tr>
      <w:tr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T9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抓取水杯二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无</w:t>
            </w:r>
          </w:p>
        </w:tc>
      </w:tr>
      <w:tr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T10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将水杯二放入篮子二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T9 完成</w:t>
            </w:r>
          </w:p>
        </w:tc>
      </w:tr>
      <w:tr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T11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抓取剪刀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无</w:t>
            </w:r>
          </w:p>
        </w:tc>
      </w:tr>
      <w:tr>
        <w:tc>
          <w:tcPr>
            <w:tcW w:w="1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T12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将剪刀放入篮子三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T11 完成</w:t>
            </w:r>
          </w:p>
        </w:tc>
      </w:tr>
    </w:tbl>
    <w:p>
      <w:r>
        <w:t>Planner 模块具备持续监测能力，若桌面出现新物品，可增量规划新任务。例如：若新出现杯子类物品，自动新增 "抓取杯子 -&gt; 放入篮子二" 的任务条目。</w:t>
      </w:r>
    </w:p>
    <w:p>
      <w:pPr>
        <w:pStyle w:val="Heading3"/>
      </w:pPr>
      <w:r>
        <w:t>3.3.2 Simulation 模块 —— 发现遮挡，调整执行顺序</w:t>
      </w:r>
    </w:p>
    <w:p>
      <w:r>
        <w:t>Simulation 模块对 Planner 输出的序列逐条进行物理仿真验证，发现遮挡问题并调整执行顺序：</w:t>
      </w:r>
    </w:p>
    <w:tbl>
      <w:tblPr>
        <w:tblW w:w="5000" w:type="pct"/>
        <w:tblBorders>
          <w:top w:val="single" w:color="2B579A" w:sz="8"/>
          <w:left w:val="nil"/>
          <w:bottom w:val="single" w:color="2B579A" w:sz="8"/>
          <w:right w:val="nil"/>
          <w:insideH w:val="single" w:color="B4C6E7" w:sz="4"/>
          <w:insideV w:val="nil"/>
        </w:tblBorders>
      </w:tblPr>
      <w:tblGrid>
        <w:gridCol w:w="1800"/>
        <w:gridCol w:w="4000"/>
        <w:gridCol w:w="3200"/>
      </w:tblGrid>
      <w:tr>
        <w:trPr>
          <w:tblHeader/>
        </w:trPr>
        <w:tc>
          <w:tcPr>
            <w:tcW w:w="18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仿真步骤</w:t>
            </w:r>
          </w:p>
        </w:tc>
        <w:tc>
          <w:tcPr>
            <w:tcW w:w="40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操作</w:t>
            </w:r>
          </w:p>
        </w:tc>
        <w:tc>
          <w:tcPr>
            <w:tcW w:w="32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结果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S1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仿真 T1（大食品盒入篮）</w:t>
            </w:r>
          </w:p>
        </w:tc>
        <w:tc>
          <w:tcPr>
            <w:tcW w:w="32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通过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S2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仿真 T3（抓取香蕉）</w:t>
            </w:r>
          </w:p>
        </w:tc>
        <w:tc>
          <w:tcPr>
            <w:tcW w:w="32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失败！被大食品盒遮挡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S3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仿真 T5（抓取橘子）</w:t>
            </w:r>
          </w:p>
        </w:tc>
        <w:tc>
          <w:tcPr>
            <w:tcW w:w="32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失败！被大食品盒遮挡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S4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仿真 T7（抓取水杯一）</w:t>
            </w:r>
          </w:p>
        </w:tc>
        <w:tc>
          <w:tcPr>
            <w:tcW w:w="32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可能失败！被水果遮挡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—</w:t>
            </w:r>
          </w:p>
        </w:tc>
        <w:tc>
          <w:tcPr>
            <w:tcW w:w="4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调整顺序：先移开遮挡物</w:t>
            </w:r>
          </w:p>
        </w:tc>
        <w:tc>
          <w:tcPr>
            <w:tcW w:w="32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解决遮挡问题</w:t>
            </w:r>
          </w:p>
        </w:tc>
      </w:tr>
    </w:tbl>
    <w:p>
      <w:r>
        <w:t>Simulation 模块调整后的执行序列中，大食品盒和杯子被临时移开以让出路径，水果放入后再将遮挡物放回目标篮子。此方案解决了遮挡问题，但引入了冗余步骤。</w:t>
      </w:r>
    </w:p>
    <w:p>
      <w:pPr>
        <w:pStyle w:val="Heading3"/>
      </w:pPr>
      <w:r>
        <w:t>3.3.3 Project Management 模块 —— 消除冗余，一步到位</w:t>
      </w:r>
    </w:p>
    <w:p>
      <w:r>
        <w:t>Project Management 模块分析 Simulation 的输出，识别冗余并优化执行方案：</w:t>
      </w:r>
    </w:p>
    <w:tbl>
      <w:tblPr>
        <w:tblW w:w="5000" w:type="pct"/>
        <w:tblBorders>
          <w:top w:val="single" w:color="2B579A" w:sz="8"/>
          <w:left w:val="nil"/>
          <w:bottom w:val="single" w:color="2B579A" w:sz="8"/>
          <w:right w:val="nil"/>
          <w:insideH w:val="single" w:color="B4C6E7" w:sz="4"/>
          <w:insideV w:val="nil"/>
        </w:tblBorders>
      </w:tblPr>
      <w:tblGrid>
        <w:gridCol w:w="2000"/>
        <w:gridCol w:w="2800"/>
        <w:gridCol w:w="2800"/>
        <w:gridCol w:w="2400"/>
      </w:tblGrid>
      <w:tr>
        <w:trPr>
          <w:tblHeader/>
        </w:trPr>
        <w:tc>
          <w:tcPr>
            <w:tcW w:w="20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模块</w:t>
            </w:r>
          </w:p>
        </w:tc>
        <w:tc>
          <w:tcPr>
            <w:tcW w:w="28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原始方案</w:t>
            </w:r>
          </w:p>
        </w:tc>
        <w:tc>
          <w:tcPr>
            <w:tcW w:w="28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优化方案</w:t>
            </w:r>
          </w:p>
        </w:tc>
        <w:tc>
          <w:tcPr>
            <w:tcW w:w="24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效果</w:t>
            </w:r>
          </w:p>
        </w:tc>
      </w:tr>
      <w:tr>
        <w:tc>
          <w:tcPr>
            <w:tcW w:w="2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Simulation</w:t>
            </w:r>
          </w:p>
        </w:tc>
        <w:tc>
          <w:tcPr>
            <w:tcW w:w="2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遮挡物先临时移开，再放回目标篮</w:t>
            </w:r>
          </w:p>
        </w:tc>
        <w:tc>
          <w:tcPr>
            <w:tcW w:w="2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—</w:t>
            </w:r>
          </w:p>
        </w:tc>
        <w:tc>
          <w:tcPr>
            <w:tcW w:w="24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引入冗余步骤</w:t>
            </w:r>
          </w:p>
        </w:tc>
      </w:tr>
      <w:tr>
        <w:tc>
          <w:tcPr>
            <w:tcW w:w="2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PM</w:t>
            </w:r>
          </w:p>
        </w:tc>
        <w:tc>
          <w:tcPr>
            <w:tcW w:w="2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—</w:t>
            </w:r>
          </w:p>
        </w:tc>
        <w:tc>
          <w:tcPr>
            <w:tcW w:w="28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遮挡物一步到位直接入目标篮</w:t>
            </w:r>
          </w:p>
        </w:tc>
        <w:tc>
          <w:tcPr>
            <w:tcW w:w="24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消除冗余，减少操作次数</w:t>
            </w:r>
          </w:p>
        </w:tc>
      </w:tr>
    </w:tbl>
    <w:p>
      <w:r>
        <w:t>Project Management 模块的核心价值在于将 Simulation 方案中的 "临时移开再放回目标篮" 优化为 "一步到位直接入目标篮"，消除了冗余的中间步骤，减少了机械臂的抓取和放置动作次数。</w:t>
      </w:r>
    </w:p>
    <w:p>
      <w:pPr>
        <w:pStyle w:val="Heading1"/>
      </w:pPr>
      <w:r>
        <w:t>四、先决条件与约束</w:t>
      </w:r>
    </w:p>
    <w:p>
      <w:pPr>
        <w:ind w:left="480" w:firstLine="0"/>
      </w:pPr>
      <w:r>
        <w:t>桌面初始状态混乱，物品之间的遮挡关系未知，机械臂必须通过实时碰撞检测动态判断。</w:t>
      </w:r>
      <w:r>
        <w:br/>
      </w:r>
      <w:r>
        <w:t>三个篮子严格按类别限制使用：篮子一仅放食品类，篮子二仅放杯具类，篮子三仅放工具类，不可跨类别混放。</w:t>
      </w:r>
      <w:r>
        <w:br/>
      </w:r>
      <w:r>
        <w:t>当抓取目标时若检测到路径遮挡，系统必须查询遮挡物的类别：若该遮挡物也在收纳清单中，则切换子任务直接收纳该遮挡物到对应篮子；若不在清单中，则需移开后再抓取。</w:t>
      </w:r>
      <w:r>
        <w:br/>
      </w:r>
      <w:r>
        <w:t>Planner 模块负责生成中粒度任务序列和条件分支，原始方案可能包含冗余的中间步骤。</w:t>
      </w:r>
      <w:r>
        <w:br/>
      </w:r>
      <w:r>
        <w:t>Simulation 模块负责验证物理可行性和堆叠约束，发现并解决遮挡问题。</w:t>
      </w:r>
      <w:r>
        <w:br/>
      </w:r>
      <w:r>
        <w:t>Project Management 模块负责跨子任务的重新排序和粒度优化，消除冗余动作，实现一步到位。</w:t>
      </w:r>
    </w:p>
    <w:p>
      <w:pPr>
        <w:pStyle w:val="Heading1"/>
      </w:pPr>
      <w:r>
        <w:t>五、三模块协作总结</w:t>
      </w:r>
    </w:p>
    <w:tbl>
      <w:tblPr>
        <w:tblW w:w="5000" w:type="pct"/>
        <w:tblBorders>
          <w:top w:val="single" w:color="2B579A" w:sz="8"/>
          <w:left w:val="nil"/>
          <w:bottom w:val="single" w:color="2B579A" w:sz="8"/>
          <w:right w:val="nil"/>
          <w:insideH w:val="single" w:color="B4C6E7" w:sz="4"/>
          <w:insideV w:val="nil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w="25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模块</w:t>
            </w:r>
          </w:p>
        </w:tc>
        <w:tc>
          <w:tcPr>
            <w:tcW w:w="35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职责</w:t>
            </w:r>
          </w:p>
        </w:tc>
        <w:tc>
          <w:tcPr>
            <w:tcW w:w="3000" w:type="dxa"/>
            <w:shd w:val="clear" w:fill="E8EEF7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333333"/>
                <w:sz w:val="21"/>
              </w:rPr>
              <w:t>处理的问题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Planner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按类别规划中粒度任务序列</w:t>
            </w:r>
          </w:p>
        </w:tc>
        <w:tc>
          <w:tcPr>
            <w:tcW w:w="3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条件判断、增量规划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Simulation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仿真验证物理可行性</w:t>
            </w:r>
          </w:p>
        </w:tc>
        <w:tc>
          <w:tcPr>
            <w:tcW w:w="3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堆叠约束、遮挡检测、顺序调整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Project Management</w:t>
            </w:r>
          </w:p>
        </w:tc>
        <w:tc>
          <w:tcPr>
            <w:tcW w:w="3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消除冗余，一步到位</w:t>
            </w:r>
          </w:p>
        </w:tc>
        <w:tc>
          <w:tcPr>
            <w:tcW w:w="3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666666"/>
                <w:sz w:val="21"/>
              </w:rPr>
              <w:t>多线程优化、减少无用动作和空闲时间</w:t>
            </w:r>
          </w:p>
        </w:tc>
      </w:tr>
    </w:tbl>
    <w:p>
      <w:r>
        <w:t>三模块的协作流程为：Planner 生成中粒度规划（可能含冗余） -&gt; Simulation 验证可行性并调整顺序 -&gt; PM 识别冗余并优化执行。三个模块形成闭环，共同完成任务从规划到执行的完整链路。</w:t>
      </w:r>
    </w:p>
    <w:p>
      <w:pPr>
        <w:pStyle w:val="Heading1"/>
      </w:pPr>
      <w:r>
        <w:t>六、持续循环机制</w:t>
      </w:r>
    </w:p>
    <w:p>
      <w:r>
        <w:t>系统持续扫描桌面状态，检测到遗留物品或新出现物品时，触发 Planner 模块重新规划中粒度任务，经 Simulation 仿真验证后，由 Project Management 模块优化调度执行。循环持续进行，直至桌面完全清空。</w:t>
      </w:r>
    </w:p>
    <w:p>
      <w:pPr>
        <w:shd w:val="clear" w:fill="F8F9FA"/>
        <w:spacing w:before="240" w:after="240"/>
        <w:ind w:firstLine="0"/>
        <w:jc w:val="center"/>
      </w:pPr>
      <w:r>
        <w:rPr>
          <w:rFonts w:ascii="Calibri" w:hAnsi="Calibri" w:eastAsia="Microsoft YaHei"/>
          <w:color w:val="666666"/>
          <w:sz w:val="22"/>
        </w:rPr>
        <w:t>Planner 规划 -&gt; Simulation 验证 -&gt; PM 优化 -&gt; 机械臂执行 -&gt; 检测遗留 -&gt; Planner 重新规划</w:t>
      </w:r>
    </w:p>
    <w:p>
      <w:pPr>
        <w:sectPr>
          <w:headerReference w:type="default" r:id="R5399827fec2d4bd4"/>
          <w:footerReference w:type="default" r:id="R64b2bd82bb7e42e0"/>
          <w:pgSz w:w="11906" w:h="16838"/>
          <w:pgMar w:top="1800" w:right="1440" w:bottom="1440" w:left="144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99999"/>
        <w:sz w:val="18"/>
      </w:rPr>
      <w:t xml:space="preserve">- </w:t>
    </w:r>
    <w:r>
      <w:rPr>
        <w:color w:val="999999"/>
        <w:sz w:val="18"/>
      </w:rPr>
      <w:fldChar w:fldCharType="begin"/>
    </w:r>
    <w:r>
      <w:rPr>
        <w:color w:val="999999"/>
        <w:sz w:val="18"/>
      </w:rPr>
      <w:instrText xml:space="preserve"> PAGE </w:instrText>
    </w:r>
    <w:r>
      <w:rPr>
        <w:color w:val="999999"/>
        <w:sz w:val="18"/>
      </w:rPr>
      <w:fldChar w:fldCharType="separate"/>
    </w:r>
    <w:r>
      <w:rPr>
        <w:color w:val="999999"/>
        <w:sz w:val="18"/>
      </w:rPr>
      <w:t>1</w:t>
    </w:r>
    <w:r>
      <w:rPr>
        <w:color w:val="999999"/>
        <w:sz w:val="18"/>
      </w:rPr>
      <w:fldChar w:fldCharType="end"/>
    </w:r>
    <w:r>
      <w:rPr>
        <w:color w:val="999999"/>
        <w:sz w:val="18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999999"/>
        <w:sz w:val="18"/>
      </w:rPr>
      <w:t>桌面物品分类整理任务文档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333333"/>
      <w:sz w:val="24"/>
    </w:rPr>
  </w:style>
  <w:style w:type="paragraph" w:styleId="Heading1">
    <w:name w:val="heading 1"/>
    <w:basedOn w:val="Normal"/>
    <w:pPr>
      <w:keepNext/>
      <w:keepLines/>
      <w:spacing w:before="480" w:after="240"/>
      <w:ind w:firstLine="0"/>
      <w:outlineLvl w:val="0"/>
    </w:pPr>
    <w:rPr>
      <w:rFonts w:ascii="Calibri" w:hAnsi="Calibri" w:eastAsia="Microsoft YaHei"/>
      <w:b/>
      <w:color w:val="2B579A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ind w:firstLine="0"/>
      <w:outlineLvl w:val="1"/>
    </w:pPr>
    <w:rPr>
      <w:rFonts w:ascii="Calibri" w:hAnsi="Calibri" w:eastAsia="Microsoft YaHei"/>
      <w:b/>
      <w:color w:val="333333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666666"/>
      <w:sz w:val="24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firstLine="0"/>
    </w:pPr>
    <w:rPr>
      <w:rFonts w:ascii="Calibri" w:hAnsi="Calibri" w:eastAsia="Microsoft YaHei"/>
      <w:b/>
      <w:color w:val="333333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666666"/>
    </w:rPr>
  </w:style>
  <w:style w:type="paragraph" w:styleId="TOC3">
    <w:name w:val="toc 3"/>
    <w:basedOn w:val="Normal"/>
    <w:pPr>
      <w:tabs>
        <w:tab w:val="right" w:leader="dot" w:pos="9350"/>
      </w:tabs>
      <w:spacing w:before="60" w:after="60"/>
      <w:ind w:left="720" w:firstLine="0"/>
    </w:pPr>
    <w:rPr>
      <w:rFonts w:ascii="Calibri" w:hAnsi="Calibri" w:eastAsia="Microsoft YaHei"/>
      <w:color w:val="999999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ab5259d5345c4b66" /><Relationship Type="http://schemas.openxmlformats.org/officeDocument/2006/relationships/numbering" Target="numbering.xml" Id="R8a4b31f562ac43ed" /><Relationship Type="http://schemas.openxmlformats.org/officeDocument/2006/relationships/header" Target="header1.xml" Id="R5399827fec2d4bd4" /><Relationship Type="http://schemas.openxmlformats.org/officeDocument/2006/relationships/footer" Target="footer1.xml" Id="R64b2bd82bb7e42e0" /><Relationship Type="http://schemas.openxmlformats.org/officeDocument/2006/relationships/settings" Target="settings.xml" Id="R53fb7e82864c4fd4" /></Relationships>
</file>