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rFonts w:ascii="Helvetica" w:cs="Helvetica" w:eastAsia="Helvetica" w:hAnsi="Helvetica"/>
          <w:color w:val="6B6B6B"/>
          <w:spacing w:val="30"/>
          <w:sz w:val="15"/>
          <w:szCs w:val="15"/>
        </w:rPr>
        <w:t xml:space="preserve">SPRECHSKRIPT FÜR LEON</w:t>
      </w:r>
    </w:p>
    <w:p>
      <w:pPr>
        <w:spacing w:after="120"/>
      </w:pPr>
      <w:r>
        <w:rPr>
          <w:rFonts w:ascii="Helvetica" w:cs="Helvetica" w:eastAsia="Helvetica" w:hAnsi="Helvetica"/>
          <w:b/>
          <w:bCs/>
          <w:sz w:val="44"/>
          <w:szCs w:val="44"/>
        </w:rPr>
        <w:t xml:space="preserve">GEO und SEO mit unseren Kampagnen</w:t>
      </w:r>
    </w:p>
    <w:p>
      <w:pPr>
        <w:spacing w:after="240"/>
      </w:pPr>
      <w:r>
        <w:rPr>
          <w:rFonts w:ascii="Helvetica" w:cs="Helvetica" w:eastAsia="Helvetica" w:hAnsi="Helvetica"/>
          <w:color w:val="555555"/>
          <w:sz w:val="22"/>
          <w:szCs w:val="22"/>
        </w:rPr>
        <w:t xml:space="preserve">8 Folien · etwa 11 Minuten · Stand 28. Oktober 2026</w:t>
      </w:r>
    </w:p>
    <w:p>
      <w:pPr>
        <w:pStyle w:val="Heading2"/>
        <w:keepNext/>
      </w:pPr>
      <w:r>
        <w:t xml:space="preserve">Folie 1 · Worum es geht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Kampagnen wecken Interesse. Google und KI müssen es auffangen.  ·  etwa 1 Minute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Leon, es geht heute um Google und die KI-Suche, also SEO und GEO, und wie das mit unseren Kampagnen zusammenhängt.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Unser Ziel bis April: 20 zahlende Kunden, 3.980 € im Monat. Das Problem ist nicht der Preis, sondern dass uns zu wenige finden. Heute kommen rund 1,6 Anmeldungen im Monat von Fremden.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Eine Kampagne macht neugierig. Dann googelt man oder fragt ChatGPT. Finden die Leute dort nichts Gutes über uns, ist die Kampagne verpufft.</w:t>
      </w:r>
    </w:p>
    <w:p>
      <w:pPr>
        <w:pStyle w:val="Heading2"/>
        <w:keepNext/>
      </w:pPr>
      <w:r>
        <w:t xml:space="preserve">Folie 2 · Wo wir stehen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Gemini kennt uns nicht. Unsere Website ist veraltet. Kaum jemand spricht über uns.  ·  etwa 1,5 Minuten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Die Technik der Website ist gut. Wo man uns lesen darf, gewinnen wir sogar: ChatGPT nennt uns bei der Tool-Frage zuerst, und zwei Artikel stehen bei Google auf Platz 1.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Trotzdem sind wir kaum sichtbar. Drei Gründe: Erstens sperren wir Gemini selbst aus. Zweitens erzählt unsere Website noch die alte Geschichte, mit „Vorprüfung“ und alten Preisen. Drittens sprechen außer LinkedIn und Munich Startup keine anderen über uns.</w:t>
      </w:r>
    </w:p>
    <w:p>
      <w:pPr>
        <w:pStyle w:val="Heading2"/>
        <w:keepNext/>
      </w:pPr>
      <w:r>
        <w:t xml:space="preserve">Folie 3 · Wie Suche und Kampagnen zusammenspielen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Kampagne → Suche → unsere Seite → kostenlos prüfen.  ·  etwa 1,5 Minuten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Jede Kampagne braucht eine Seite, auf der sie landet. Deshalb bauen wir für jede Zielgruppe eine Seite und Artikel zu den Fragen, die die Leute wirklich stellen.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Jeder Artikel ist gleich gebaut: riskanter Satz, Gesetz, besserer Satz. Das ist genau unsere LinkedIn-Serie „Ein Satz, drei Fassungen“. Einmal schreiben, zweimal nutzen.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Und wenn Verbände oder Agenturen unsere Kampagnen teilen, sprechen andere über uns. Genau das fehlt uns bei Google und in den KI-Antworten.</w:t>
      </w:r>
    </w:p>
    <w:p>
      <w:pPr>
        <w:pStyle w:val="Heading2"/>
        <w:keepNext/>
      </w:pPr>
      <w:r>
        <w:t xml:space="preserve">Folie 4 · Was sich an unserer Sprache sofort ändert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Alt raus, neu rein. Überall dieselben Worte.  ·  etwa 1,5 Minuten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Die KI-Systeme wiederholen, was auf unserer Website steht. Deshalb räumen wir zuerst die Sprache auf. Und Zahlen, die wir nicht belegen können, sind für einen Prüf-Anbieter ein Risiko.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Die wichtigsten Änderungen:</w:t>
      </w:r>
    </w:p>
    <w:tbl>
      <w:tblPr>
        <w:tblW w:type="dxa" w:w="9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722"/>
        <w:gridCol w:w="4095"/>
        <w:gridCol w:w="1489"/>
      </w:tblGrid>
      <w:tr>
        <w:trPr>
          <w:cantSplit/>
          <w:tblHeader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Alt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Neu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Wer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„Vorprüfung“, „Vorfilter“, „Healthcare Website Compliance Checker“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„Prüfung“; Claim „die Prüfung für Gesundheitswerbung“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Leon, Massi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„Anwalt ab 3.000 €“, „Abmahnung ab 5.000 €“, „1.000 geprüfte Texte“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raus; „Anwalt ab 399 €“ nur mit Quelle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Leon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„15 € je Text“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bleibt, aber klar als Rechenbeispiel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Leon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Starter, Professional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Gratis, Praxis, Hersteller, Agentur, Team (mit dem Upgrade)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Leon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„White-Label“, „Video-Audit“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„In Ihrem Namen“, „Einzel-Audit“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Leon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„Für jede Regel ein Spezialist“, „12 Paragrafen“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ohne Zahl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Massi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„Stark werben. Sauber formulieren.“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„Stark werben. Ruhig veröffentlichen.“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Massi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„Er stellt keine Rechtsberatung dar“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„Den Einzelfall bewertet Ihre Kanzlei.“ (Entscheidung 3)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Massi, Leon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„HWG-Wächter“, „Compliance-Monitoring“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„Laufende Website-Prüfung“ (Entscheidung 4)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Massi</w:t>
            </w:r>
          </w:p>
        </w:tc>
      </w:tr>
      <w:tr>
        <w:trPr>
          <w:cantSplit/>
        </w:trPr>
        <w:tc>
          <w:tcPr>
            <w:tcW w:type="dxa" w:w="3722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FinTech (Munich Startup), „technische Vorprüfung“ (LinkedIn)</w:t>
            </w:r>
          </w:p>
        </w:tc>
        <w:tc>
          <w:tcPr>
            <w:tcW w:type="dxa" w:w="4095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unsere Definition, überall wörtlich gleich</w:t>
            </w:r>
          </w:p>
        </w:tc>
        <w:tc>
          <w:tcPr>
            <w:tcW w:type="dxa" w:w="1489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5"/>
                <w:szCs w:val="15"/>
              </w:rPr>
              <w:t xml:space="preserve">Massi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Folie 5 · Was du machst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Technik und Preise. Sofort etwa 5 Stunden, dann etwa 4 Tage, dann etwa 5 Tage.  ·  etwa 2 Minuten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Sofort: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Gemini und die anderen KI-Crawler hereinlassen. Die Login-Seite aus der Google-Suche nehmen. Titel und Texte im Kopf der Seiten bereinigen. Und die Preisseite: Alle Zahlen raus, die wir nicht belegen können. Für einen Prüf-Anbieter sind die ein echtes Risiko.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In 30 Tagen: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Google sagen, wer wir sind, also Firma, Sitz, Gründer. Die Seite „Über uns“ einbauen. Die Blog-Vorlage verbessern. Und messen, woher jede Anmeldung kommt. Dafür bekommen die Links in unseren Kampagnen eine Markierung, dann sehen wir, welche Kampagne wirkt.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In 90 Tagen: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eine Seite pro Zielgruppe: Agenturen, Arztpraxen, Heilberufe, Hersteller, dazu die „Laufende Website-Prüfung“. Und eine Vergleichsseite. Extra-Seiten für Suchbegriffe wie „HWG-Prüfung“ bauen wir erst, wenn die Messung zeigt, dass sie fehlen. Sonst konkurrieren sie mit der Startseite.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Alles steht mit Erklärung in deinem Blatt.</w:t>
      </w:r>
    </w:p>
    <w:p>
      <w:pPr>
        <w:pStyle w:val="Heading2"/>
        <w:keepNext/>
      </w:pPr>
      <w:r>
        <w:t xml:space="preserve">Folie 6 · Was ich mache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Eine Stimme, richtige Inhalte, andere sprechen über uns.  ·  etwa 1,5 Minuten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Sofort: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LinkedIn und Munich Startup auf unsere Beschreibung umstellen. Dort steht noch FinTech, deshalb hält Gemini uns dafür. Den Text für „Über uns“ schreiben. Einen Fehler im Vorher-Nachher-Artikel korrigieren.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In 30 Tagen: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Texte für die Startseite, vier neue Artikel, jeder mit LinkedIn-Beitrag. Ein Profil bei Crunchbase. OMR kommt später, wenn wir mehr Kunden haben, die uns bewerten können.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Idee: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Agenturen, die über das Thema schreiben, als Partner gewinnen.</w:t>
      </w:r>
    </w:p>
    <w:p>
      <w:pPr>
        <w:pStyle w:val="Heading2"/>
        <w:keepNext/>
      </w:pPr>
      <w:r>
        <w:t xml:space="preserve">Folie 7 · Was wir heute entscheiden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Fünf Entscheidungen.  ·  etwa 2,5 Minuten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1. Gemini freigeben?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Ja. Sonst nennt Gemini uns nicht.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2. Welche Preise zeigt die Website?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Deine Entscheidung. Vorschlag: neue Preise mit dem Upgrade, unbelegte Zahlen sofort raus.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3. Den Satz „keine Rechtsberatung“ unter den Artikeln?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Ersetzen durch: „Den Einzelfall bewertet Ihre Kanzlei.“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4. Name für den Wächter auf der Website?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„Laufende Website-Prüfung“. In der App bleibt es „Wächter“.</w:t>
      </w:r>
    </w:p>
    <w:p>
      <w:pPr>
        <w:spacing w:after="110" w:line="310"/>
      </w:pPr>
      <w:r>
        <w:rPr>
          <w:rFonts w:ascii="Helvetica" w:cs="Helvetica" w:eastAsia="Helvetica" w:hAnsi="Helvetica"/>
          <w:b/>
          <w:bCs/>
          <w:color w:val="1A1A1A"/>
          <w:sz w:val="20"/>
          <w:szCs w:val="20"/>
        </w:rPr>
        <w:t xml:space="preserve">5. Die KI-Modelle mit unseren Texten lernen lassen?</w:t>
      </w: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 Ja. Dann kennen sie uns auch ohne Websuche. Ob das wirkt, ist allerdings nicht sicher.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Offen bei dir: Bleiben wir bei Plausible? Mein Vorschlag: ja, mit markierten Kampagnen-Links. Brauchen wir eine Markenrechtlerin, und wann sprichst du mit den Praxen und tigovit über die Preise?</w:t>
      </w:r>
    </w:p>
    <w:p>
      <w:pPr>
        <w:pStyle w:val="Heading2"/>
        <w:keepNext/>
      </w:pPr>
      <w:r>
        <w:t xml:space="preserve">Folie 8 · Was es bringt und wie es weitergeht</w:t>
      </w:r>
    </w:p>
    <w:p>
      <w:pPr>
        <w:spacing w:after="100"/>
        <w:rPr>
          <w:color w:val="6B6B6B"/>
          <w:sz w:val="17"/>
          <w:szCs w:val="17"/>
        </w:rPr>
      </w:pPr>
      <w:r>
        <w:rPr>
          <w:rFonts w:ascii="Helvetica" w:cs="Helvetica" w:eastAsia="Helvetica" w:hAnsi="Helvetica"/>
          <w:b/>
          <w:bCs/>
          <w:color w:val="6B6B6B"/>
          <w:sz w:val="17"/>
          <w:szCs w:val="17"/>
        </w:rPr>
        <w:t xml:space="preserve">Auf der Folie:</w:t>
      </w:r>
      <w:r>
        <w:rPr>
          <w:rFonts w:ascii="Helvetica" w:cs="Helvetica" w:eastAsia="Helvetica" w:hAnsi="Helvetica"/>
          <w:color w:val="6B6B6B"/>
          <w:sz w:val="17"/>
          <w:szCs w:val="17"/>
        </w:rPr>
        <w:t xml:space="preserve"> In 90 Tagen: Gemini kennt uns, mindestens 4 fremde Quellen statt 2, neue Artikel in den Top 10.  ·  etwa 1 Minute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Es kostet vor allem unsere Zeit, kaum Geld. Nach vier Wochen messen wir mit denselben Fragen nach. Was nicht wirkt, ändern wir.</w:t>
      </w:r>
    </w:p>
    <w:p>
      <w:pPr>
        <w:spacing w:after="110" w:line="310"/>
      </w:pPr>
      <w:r>
        <w:rPr>
          <w:rFonts w:ascii="Helvetica" w:cs="Helvetica" w:eastAsia="Helvetica" w:hAnsi="Helvetica"/>
          <w:color w:val="1A1A1A"/>
          <w:sz w:val="20"/>
          <w:szCs w:val="20"/>
        </w:rPr>
        <w:t xml:space="preserve">Wenn wir heute entscheiden, kannst du morgen anfangen. Und die erste Kampagne an Agenturen landet dann schon auf der neuen Website.</w:t>
      </w:r>
    </w:p>
    <w:p>
      <w:pPr>
        <w:pStyle w:val="Heading1"/>
        <w:keepNext/>
      </w:pPr>
      <w:r>
        <w:t xml:space="preserve">Falls Leon fragt</w:t>
      </w:r>
    </w:p>
    <w:tbl>
      <w:tblPr>
        <w:tblW w:type="dxa" w:w="9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350"/>
        <w:gridCol w:w="5956"/>
      </w:tblGrid>
      <w:tr>
        <w:trPr>
          <w:cantSplit/>
          <w:tblHeader/>
        </w:trPr>
        <w:tc>
          <w:tcPr>
            <w:tcW w:type="dxa" w:w="3350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Frage</w:t>
            </w:r>
          </w:p>
        </w:tc>
        <w:tc>
          <w:tcPr>
            <w:tcW w:type="dxa" w:w="5956"/>
            <w:tcBorders>
              <w:top w:val="none" w:color="FFFFFF" w:sz="0"/>
              <w:left w:val="none" w:color="FFFFFF" w:sz="0"/>
              <w:bottom w:val="single" w:color="444444" w:sz="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Kurze Antwort</w:t>
            </w:r>
          </w:p>
        </w:tc>
      </w:tr>
      <w:tr>
        <w:trPr>
          <w:cantSplit/>
        </w:trPr>
        <w:tc>
          <w:tcPr>
            <w:tcW w:type="dxa" w:w="335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„Warum nicht erst Kampagnen?“</w:t>
            </w:r>
          </w:p>
        </w:tc>
        <w:tc>
          <w:tcPr>
            <w:tcW w:type="dxa" w:w="595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Ohne passende Seiten verpuffen sie. Das Sofort-Paket dauert eine Woche.</w:t>
            </w:r>
          </w:p>
        </w:tc>
      </w:tr>
      <w:tr>
        <w:trPr>
          <w:cantSplit/>
        </w:trPr>
        <w:tc>
          <w:tcPr>
            <w:tcW w:type="dxa" w:w="335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„Warum nicht einfach mehr Artikel?“</w:t>
            </w:r>
          </w:p>
        </w:tc>
        <w:tc>
          <w:tcPr>
            <w:tcW w:type="dxa" w:w="595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Uns fehlt nicht Inhalt, sondern dass andere über uns sprechen.</w:t>
            </w:r>
          </w:p>
        </w:tc>
      </w:tr>
      <w:tr>
        <w:trPr>
          <w:cantSplit/>
        </w:trPr>
        <w:tc>
          <w:tcPr>
            <w:tcW w:type="dxa" w:w="3350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„Was, wenn es nichts bringt?“</w:t>
            </w:r>
          </w:p>
        </w:tc>
        <w:tc>
          <w:tcPr>
            <w:tcW w:type="dxa" w:w="5956"/>
            <w:tcBorders>
              <w:top w:val="none" w:color="FFFFFF" w:sz="0"/>
              <w:left w:val="none" w:color="FFFFFF" w:sz="0"/>
              <w:bottom w:val="single" w:color="D6D6D6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50"/>
            </w:pPr>
            <w:r>
              <w:rPr>
                <w:rFonts w:ascii="Helvetica" w:cs="Helvetica" w:eastAsia="Helvetica" w:hAnsi="Helvetica"/>
                <w:color w:val="1A1A1A"/>
                <w:sz w:val="16"/>
                <w:szCs w:val="16"/>
              </w:rPr>
              <w:t xml:space="preserve">Wir messen nach vier Wochen. Es kostet vor allem Zeit.</w:t>
            </w:r>
          </w:p>
        </w:tc>
      </w:tr>
    </w:tbl>
    <w:sectPr>
      <w:footerReference w:type="default" r:id="rId7"/>
      <w:footerReference w:type="first" r:id="rId8"/>
      <w:pgSz w:w="11906" w:h="16838" w:orient="portrait"/>
      <w:pgMar w:top="1300" w:right="1300" w:bottom="1300" w:left="1300" w:header="708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Helvetica" w:cs="Helvetica" w:eastAsia="Helvetica" w:hAnsi="Helvetica"/>
        <w:color w:val="6B6B6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" w:cs="Helvetica" w:eastAsia="Helvetica" w:hAnsi="Helvetica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20"/>
      <w:outlineLvl w:val="0"/>
    </w:pPr>
    <w:rPr>
      <w:rFonts w:ascii="Helvetica" w:cs="Helvetica" w:eastAsia="Helvetica" w:hAnsi="Helvetica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Helvetica" w:cs="Helvetica" w:eastAsia="Helvetica" w:hAnsi="Helvetica"/>
      <w:b/>
      <w:bCs/>
      <w:color w:val="1A1A1A"/>
      <w:sz w:val="22"/>
      <w:szCs w:val="22"/>
    </w:rPr>
  </w:style>
  <w:style w:type="paragraph" w:styleId="TOC1">
    <w:name w:val="toc 1"/>
    <w:basedOn w:val="Normal"/>
    <w:pPr>
      <w:spacing w:after="20" w:before="100"/>
    </w:pPr>
    <w:rPr>
      <w:rFonts w:ascii="Helvetica" w:cs="Helvetica" w:eastAsia="Helvetica" w:hAnsi="Helvetica"/>
      <w:b/>
      <w:bCs/>
      <w:sz w:val="18"/>
      <w:szCs w:val="18"/>
    </w:rPr>
  </w:style>
  <w:style w:type="paragraph" w:styleId="TOC2">
    <w:name w:val="toc 2"/>
    <w:basedOn w:val="Normal"/>
    <w:pPr>
      <w:spacing w:after="20"/>
      <w:ind w:left="360"/>
    </w:pPr>
    <w:rPr>
      <w:rFonts w:ascii="Helvetica" w:cs="Helvetica" w:eastAsia="Helvetica" w:hAnsi="Helvetica"/>
      <w:sz w:val="17"/>
      <w:szCs w:val="17"/>
    </w:rPr>
  </w:style>
  <w:style w:type="paragraph" w:styleId="FootnoteText">
    <w:name w:val="footnote text"/>
    <w:basedOn w:val="Normal"/>
    <w:rPr>
      <w:sz w:val="14"/>
      <w:szCs w:val="1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Sprechskript für Leon</dc:title>
  <dc:creator>PageCompliance</dc:creator>
  <dc:description>Sprechskript für Leon</dc:description>
  <cp:lastModifiedBy>Un-named</cp:lastModifiedBy>
  <cp:revision>1</cp:revision>
  <dcterms:created xsi:type="dcterms:W3CDTF">2026-10-28T13:32:06.035Z</dcterms:created>
  <dcterms:modified xsi:type="dcterms:W3CDTF">2026-10-28T13:32:06.036Z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