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„Drei Texte im Monat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Fünf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App-Name bleibt „Wächter“; Monatsbericht heißt „Prüfbericht“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Trainingssperre für GPTBot, ClaudeBot, CCBot und Applebot-Extended aufheben?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für die öffentlichen Seiten; /api/, /admin/, /dashboard/ bleiben gesperrt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„Drei Texte im Monat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 Daneben sperrt die robots.txt vier reine Trainingscrawler. Das kostet keine Zitate in Antworten, hält PageCompliance aber aus den Trainingsdaten der großen Modelle heraus; ein Modell kennt die Marke dann nur, wenn es gerade im Netz sucht (E5).</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„Drei Texte im Monat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(M9, Idee),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(Google liest es als Hochschule Ludwigshafen).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bereinigen: unbelegte Zahlen, „White-Label“, „Video-Audit“, „Spezialisten für jeden HWG-Paragrafen“ raus; Preisanker mit Quelle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verantwortet die Preise; unbelegte Zahlen sind ein UWG-Risiko</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nach E5 auch GPTBot, ClaudeBot, CCBot, Applebot-Extended; /api/, /admin/, /dashboard/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bringt die öffentlichen Texte in die Trainingsdaten der großen Modelle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spacing w:after="140" w:line="300"/>
      </w:pPr>
      <w:r>
        <w:rPr>
          <w:rFonts w:ascii="Helvetica" w:cs="Helvetica" w:eastAsia="Helvetica" w:hAnsi="Helvetica"/>
          <w:b/>
          <w:bCs/>
          <w:color w:val="1A1A1A"/>
          <w:sz w:val="20"/>
          <w:szCs w:val="20"/>
        </w:rPr>
        <w:t xml:space="preserve">Entscheidung E5.</w:t>
      </w:r>
      <w:r>
        <w:rPr>
          <w:rFonts w:ascii="Helvetica" w:cs="Helvetica" w:eastAsia="Helvetica" w:hAnsi="Helvetica"/>
          <w:color w:val="1A1A1A"/>
          <w:sz w:val="20"/>
          <w:szCs w:val="20"/>
        </w:rPr>
        <w:t xml:space="preserve"> Die Sperre für GPTBot, ClaudeBot, CCBot und Applebot-Extended stammt aus der bestehenden robots.txt. Sie schützt die Texte davor, Modelle zu trainieren, die dann dieselben Antworten kostenlos geben, und hält den Vorbehalt nach § 44b UrhG aufrecht. Dagegen steht der Engpass: Kaum ein Modell kennt PageCompliance. Was im Training steckt, weiß ein Modell auch ohne Websuche. CCBot wiegt am schwersten, weil Common Crawl breit für Trainingsdatensätze weiterverwendet wird. Öffentlich stehen Marketingtexte, die sich verbreiten sollen; die Prüflogik steht nicht auf der Website, und gewonnen wird laut Leitfaden über den Weg bis zur Freigabe. Empfehlung: freigeben für die öffentlichen Seiten. Zwei Vorbehalte: Der Effekt ist nicht belegt und frühestens mit der nächsten Modellgeneration sichtbar, und gesammelte Daten lassen sich nicht zurückholen.</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Crunchbase,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Sauber formulieren.“ (H1 von /blog)</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Ruhig veröffentlichen.“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„sauber“ ist ein Urteilswort</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Die Preisseite übernimmt Leon ganz, weil er die Preise verantwortet. Die übrigen Texte schreibt Massi,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(L17, Leon,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Meta-Description und Blog-Title: Varianten in M12.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„Laufende Website-Prüfung“. Der Name setzt den Markenbegriff „Prüfung“ fort, ist deutsch, verspricht keinen Schutz und deckt alles ab, was auf einer Website steht, auch Leistungs- und Behandlungsseiten. Agenturen können ihn als Leistung weiterberechnen. Er steht immer mit dem Satz „PageCompliance liest Ihre Live-Seiten mit und meldet sich, wenn sich eine Seite oder die Rechtslage ändert.“ Der Monatsbericht heißt „Prüfbericht“.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„Drei Texte im Monat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Blog-Kategorien je Tür (30 Tage)</w:t>
      </w:r>
    </w:p>
    <w:p>
      <w:pPr>
        <w:spacing w:after="140" w:line="300"/>
      </w:pPr>
      <w:r>
        <w:rPr>
          <w:rFonts w:ascii="Helvetica" w:cs="Helvetica" w:eastAsia="Helvetica" w:hAnsi="Helvetica"/>
          <w:color w:val="1A1A1A"/>
          <w:sz w:val="20"/>
          <w:szCs w:val="20"/>
        </w:rPr>
        <w:t xml:space="preserve">Der Blog ist der Landeplatz für alle Themen-Kampagnen, für alle vier Türen, auch für Agenturen: Die Texterin googelt die Praxisfragen ihrer Kunden, und der Agentur-Artikel steht schon auf Platz 1. Leon legt deshalb vier Kategorien an: Agenturen, Ärzte, Heilberufe, Hersteller (L18). Jeder Artikel bekommt eine oder mehrere Türen, wie in der Tabelle oben. Eine Kampagne kann so auf einen Artikel oder auf alle Artikel einer Tür zeigen. Bis die Produktseiten je Tür stehen, sind die Kategorien deren Zwischenlösung; danach verlinkt jede Produktseite ihre Kategorie. Jeder Artikel endet mit „Drei Texte im Monat kostenlos prüfen“; Gratis mit 3 Prüfungen im Monat ist aktiv.</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(„Nahrungsergänzungsmittel“ in Title und H1)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/laufende-website-pruefung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Heilberufe bekommen getrennte Seiten, obwohl dasselbe Paket dahinterliegt: Ärzte wollen nicht mit Heilpraktikern in einen Topf, und der Schmerz ist ein anderer. /heilberufe statt /heilpraktiker, weil Tür 3 laut Leitfaden auch Physiotherapie, Osteopathie und Psychotherapeuten umfasst. /hersteller statt /nahrungsergaenzungsmittel, weil OTC- und RX-Hersteller später dazukommen. Preise auf diesen Seiten erst nach E2; Praxis 29 € und Hersteller 99 € sind Arbeitswerte.</w:t>
      </w:r>
    </w:p>
    <w:p>
      <w:pPr>
        <w:spacing w:after="140" w:line="300"/>
      </w:pPr>
      <w:r>
        <w:rPr>
          <w:rFonts w:ascii="Helvetica" w:cs="Helvetica" w:eastAsia="Helvetica" w:hAnsi="Helvetica"/>
          <w:color w:val="1A1A1A"/>
          <w:sz w:val="20"/>
          <w:szCs w:val="20"/>
        </w:rPr>
        <w:t xml:space="preserve">Suchanlässe für die Seite „Laufende Website-Prüfung“, abgeleitet aus Plan v1, Suchvolumen nicht gemessen: „Website laufend prüfen Heilmittelwerbegesetz“, „Praxis-Website überwachen Werbung“, „Kunden-Websites überwachen Agentur Gesundheit“, „Unterlassungserklärung Vertragsstrafe vermeiden Website“ (Heilberufe). Vor dem Schreiben in Search Console oder Keyword-Planer prüfen. Keine zusätzlichen Seiten für Kaufbegriffe (Vorschlag der Strategie: /hwg-pruefung, /health-claims-pruefung). Sie würden mit vorhandenen Seiten um dieselben Suchbegriffe konkurrieren: Die Startseite übernimmt „Prüfung nach Heilmittelwerbegesetz“, die Hersteller-Seite „Health Claims prüfen“. Erst wenn die Search Console nach der ersten Messung viele Einblendungen für solche Begriffe ohne passende Seite zeigt, wird nachgebaut.</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Crunchbase (M7, 30 Tage).</w:t>
      </w:r>
      <w:r>
        <w:rPr>
          <w:rFonts w:ascii="Helvetica" w:cs="Helvetica" w:eastAsia="Helvetica" w:hAnsi="Helvetica"/>
          <w:color w:val="1A1A1A"/>
          <w:sz w:val="20"/>
          <w:szCs w:val="20"/>
        </w:rPr>
        <w:t xml:space="preserve"> Einmal anlegen, mit Definition und Fakten, nicht pflegen. Bringt keine Kunden, aber eine fremde Quelle mit harten Fakten. OMR Reviews kommt erst, wenn wir größer sind und genug echte Bewertungen sammeln können; ein Profil ohne Bewertungen ist wertlos. G2 entfällt: amerikanisch geprägt, für deutsche Gesundheitswerbung ohne erkennbaren Nutzen.</w:t>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Idee).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Prüfbericht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M3, M5, M6, M7, M10 und M12 tauchen bei Leon als Abhängigkeit auf. Preisseite und Preisanker liegen bei Leon (L17).</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„Vorprüfung“ und „rechtssicher“ auf LinkedIn ersetzen; Gründerprofile verknüpfen;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 einmal anlegen; OMR erst, wenn wir größer sind; kein G2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Crunchbase-Profil mit Definition ist live</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Idee: 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Artikel 2, Vergleichsseite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 Preisseite bereinigen · L1 robots.txt (nach E1 und E5) · L2 noindex /login, /register · L3 Titles, Meta-Description,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 plus Preisseite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(Plausible?, markierte Kampagnen-Links) · L14 Preis-Markup (nach E2) · L18 Blog-Kategorien je Tür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Fünf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live am 27.10.: Starter 99 €, Professional 349 €, Enterprise 699 €, Gratis 2.400 Wörter ohne Konto. Gratis mit 3 Prüfungen im Monat ist inzwischen aktiv (Stand 28.10.).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Preise v2 mit dem Upgrade live. Bis dahin unbelegte Zahlen raus (L17),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App-Name „Wächter“; Monatsbericht „Prüfbericht“. „Wächter“ und eine eigene Anmeldung von „PageCompliance“ vor dem Start prüfen lassen.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und Applebot-Extended aufheben?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GPTBot, ClaudeBot, CCBot und Applebot-Extended sammeln nur Trainingsdaten; die Zugänge für Antworten (OAI-SearchBot, ChatGPT-User, Claude-SearchBot, Claude-User, PerplexityBot) sind getrennt und schon offen. Common Crawl (CCBot) wird breit für Trainingsdatensätze weiterverwendet. Einmal gesammelte Daten bleiben in den Archiven.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für die öffentlichen Seiten; /api/, /admin/, /dashboard/ bleiben gesperrt. Der Engpass ist Bekanntheit, nicht Schutz: Öffentlich stehen Marketingtexte, die sich verbreiten sollen. Der Effekt ist nicht belegt und frühestens mit der nächsten Modellgeneration sichtbar.</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/heilberufe,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App-Name,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Kurzlinks für Kampagnen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Eigene Kurzlinks wie pagecompliance.de/go/hp-satz für Bio-Links, Stories, QR-Codes und Print? Arbeitsnotiz „Kampagnen-Links“ im Repo</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und 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 der Kampagnen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Messwerkzeug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beibehalten oder ein anderes Werkzeug für L13? Empfehlung: behalten (Daten seit Juni, kein Cookie-Banner nötig laut Anbieter), Kampagnen-Links markieren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 der Anmeldungen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7"/>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 und Munich Startup korrigiert, Crunchbase, mindestens eine Fundstelle bei einem Verband, einer Fachschule oder einer Agentur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markierte Kampagnen-Links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E5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fünf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(L17)</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Crunchbase angelegt; falls M9 umgesetzt wird,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L17,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 L1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kaum ein Modell kennt die Marke (Audit 2.3,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Anthropic Help Center; OpenAI-Dokumentation; Common Crawl</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L18</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Blog-Kategorien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Kampagnen brauchen einen Landeplatz je Tür, bevor die Produktseiten stehen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 und 9</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(gegenüber Kunden der Agentur); Prüfbericht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Crunchbase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support.crunchbase.com</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b9940294cac0a986cca19dd831c65b53462d0a0f.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2026-10-28T16:03:32.892Z</dcterms:created>
  <dcterms:modified xsi:type="dcterms:W3CDTF">2026-10-28T16:03:32.892Z</dcterms:modified>
</cp:coreProperties>
</file>

<file path=docProps/custom.xml><?xml version="1.0" encoding="utf-8"?>
<Properties xmlns="http://schemas.openxmlformats.org/officeDocument/2006/custom-properties" xmlns:vt="http://schemas.openxmlformats.org/officeDocument/2006/docPropsVTypes"/>
</file>