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rFonts w:ascii="Helvetica" w:cs="Helvetica" w:eastAsia="Helvetica" w:hAnsi="Helvetica"/>
          <w:color w:val="6B6B6B"/>
          <w:spacing w:val="30"/>
          <w:sz w:val="15"/>
          <w:szCs w:val="15"/>
        </w:rPr>
        <w:t xml:space="preserve">GEO-AUDIT · REFERENZ</w:t>
      </w:r>
    </w:p>
    <w:p>
      <w:pPr>
        <w:spacing w:after="120"/>
      </w:pPr>
      <w:r>
        <w:rPr>
          <w:rFonts w:ascii="Helvetica" w:cs="Helvetica" w:eastAsia="Helvetica" w:hAnsi="Helvetica"/>
          <w:b/>
          <w:bCs/>
          <w:sz w:val="44"/>
          <w:szCs w:val="44"/>
        </w:rPr>
        <w:t xml:space="preserve">Fragen, Rankings und Wettbewerb</w:t>
      </w:r>
    </w:p>
    <w:p>
      <w:pPr>
        <w:spacing w:after="240"/>
      </w:pPr>
      <w:r>
        <w:rPr>
          <w:rFonts w:ascii="Helvetica" w:cs="Helvetica" w:eastAsia="Helvetica" w:hAnsi="Helvetica"/>
          <w:color w:val="555555"/>
          <w:sz w:val="22"/>
          <w:szCs w:val="22"/>
        </w:rPr>
        <w:t xml:space="preserve">Was gefragt wurde, wo PageCompliance steht und wer sonst genannt wird · Erhebung 26.10.2026, Nachprüfung 27.10.2026</w:t>
      </w:r>
    </w:p>
    <w:p>
      <w:pPr>
        <w:pBdr>
          <w:left w:val="single" w:color="1B3AA8" w:sz="12" w:space="10"/>
        </w:pBdr>
        <w:spacing w:after="60" w:before="200"/>
        <w:ind w:left="240"/>
      </w:pPr>
      <w:r>
        <w:rPr>
          <w:rFonts w:ascii="Helvetica" w:cs="Helvetica" w:eastAsia="Helvetica" w:hAnsi="Helvetica"/>
          <w:color w:val="1B3AA8"/>
          <w:spacing w:val="20"/>
          <w:sz w:val="15"/>
          <w:szCs w:val="15"/>
        </w:rPr>
        <w:t xml:space="preserve">WOFÜR DIESE DATEI</w:t>
      </w:r>
    </w:p>
    <w:p>
      <w:pPr>
        <w:pBdr>
          <w:left w:val="single" w:color="1B3AA8" w:sz="12" w:space="10"/>
        </w:pBdr>
        <w:spacing w:after="200" w:line="300"/>
        <w:ind w:left="24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Sie hält die Ausgangswerte fest, an denen der Maßnahmenplan gemessen wird. Bei jeder Wiederholungsmessung (M13) werden dieselben Fragen und Suchbegriffe genutzt, damit die Werte vergleichbar bleiben. Abschnitt 6 ist die leere Messtabelle dafür.</w:t>
      </w:r>
    </w:p>
    <w:p>
      <w:pPr>
        <w:pStyle w:val="Heading1"/>
        <w:keepNext/>
      </w:pPr>
      <w:r>
        <w:t xml:space="preserve">1 So wurde gemessen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15 Fragen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an ChatGPT, Perplexity und Gemini, so formuliert, wie ein Käufer sie eintippt. Je Frage ein Durchlauf; KI-Antworten schwanken, erst drei Durchläufe zeigen einen Trend.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20 Suchbegriffe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auf google.de, sortiert nach Absicht: kommerziell (jemand sucht ein Werkzeug), informativ (jemand sucht eine Antwort), Tür (gehört zu einer Zielgruppe).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Googles „Weitere Fragen“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auf den 20 Suchen und das </w:t>
      </w: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Google-Autocomplete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für 33 Startbegriffe (27.10.) als Beleg, welche Fragen wirklich gestellt werden.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Keine Suchvolumen gemessen.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Belegt ist, dass eine Frage gestellt wird, nicht wie oft.</w:t>
      </w:r>
    </w:p>
    <w:p>
      <w:pPr>
        <w:spacing w:after="60"/>
      </w:pPr>
    </w:p>
    <w:p>
      <w:pPr>
        <w:pStyle w:val="Heading1"/>
        <w:keepNext/>
      </w:pPr>
      <w:r>
        <w:t xml:space="preserve">2 Die 15 Fragen an ChatGPT, Perplexity und Gemini</w:t>
      </w:r>
    </w:p>
    <w:p>
      <w:pPr>
        <w:pStyle w:val="Heading2"/>
        <w:keepNext/>
      </w:pPr>
      <w:r>
        <w:t xml:space="preserve">2.1 Wo PageCompliance genannt wird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"/>
        <w:gridCol w:w="3815"/>
        <w:gridCol w:w="1117"/>
        <w:gridCol w:w="1303"/>
        <w:gridCol w:w="1396"/>
        <w:gridCol w:w="1210"/>
      </w:tblGrid>
      <w:tr>
        <w:trPr>
          <w:cantSplit/>
          <w:tblHeader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#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Frage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Tür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ChatGPT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Perplexity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Gemini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Welche Tools gibt es, um Healthcare-Werbetexte auf HWG-Konformität zu prüfen?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alle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Platz 1, zitiert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verweigert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Wie kann ich meine Praxis-Website automatisch auf Heilmittelwerbegesetz prüfen lassen?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Praxis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genannt, zitiert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genannt (LinkedIn)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Was kostet eine HWG-Prüfung für eine Website?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alle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Gibt es Software, die Health Claims bei Nahrungsergänzungsmitteln prüft?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Hersteller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Wie stellen Healthcare-Marketing-Agenturen sicher, dass Texte HWG-konform sind?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Agentur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Welche Alternativen gibt es zur anwaltlichen Prüfung von Gesundheitswerbung?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alle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Wie vermeide ich als Heilpraktiker eine Abmahnung wegen Wirkversprechen?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Heilberufe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Darf ich auf meiner Praxis-Website schreiben, dass eine Behandlung hilft?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Praxis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Ist „stärkt das Immunsystem“ als Werbeaussage für ein Nahrungsergänzungsmittel erlaubt?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Hersteller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Welche Formulierungen auf einer Arzt-Website sind HWG-rechtlich riskant?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Ärzte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Wer bietet KI-gestützte Compliance-Prüfung für Gesundheitsmarketing in Deutschland an?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alle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Platz 2 (LinkedIn)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Wie prüfe ich Vorher-Nachher-Bilder auf meiner Praxis-Website rechtlich ab?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Ärzte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Was ist der Unterschied zwischen HWG und Health-Claims-Verordnung?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Hersteller, Agentur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Welche Software hilft NEM-Herstellern bei der Werbe-Compliance?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Hersteller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Platz 1 (LinkedIn)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nein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Was ist PageCompliance? (Kontrollfrage)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Marke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richtig, zitiert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richtig, eigene Seite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Gattungsbegriff, FinTech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381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Nennungen gesamt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3 von 15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4 von 15</w:t>
            </w:r>
          </w:p>
        </w:tc>
        <w:tc>
          <w:tcPr>
            <w:tcW w:type="dxa" w:w="1210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5"/>
                <w:szCs w:val="15"/>
              </w:rPr>
              <w:t xml:space="preserve">0 von 15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Auf zehn der 15 Fragen nennt keines der drei Systeme PageCompliance; das sind vor allem die Sachfragen der Zielgruppen (3 bis 10, 12, 13).</w:t>
      </w:r>
    </w:p>
    <w:p>
      <w:pPr>
        <w:pStyle w:val="Heading2"/>
        <w:keepNext/>
      </w:pPr>
      <w:r>
        <w:t xml:space="preserve">2.2 Wer in den Antworten genannt oder zitiert wird</w:t>
      </w:r>
    </w:p>
    <w:p>
      <w:pPr>
        <w:spacing w:after="140" w:line="300"/>
        <w:rPr>
          <w:color w:val="555555"/>
          <w:sz w:val="18"/>
          <w:szCs w:val="18"/>
        </w:rPr>
      </w:pPr>
      <w:r>
        <w:rPr>
          <w:rFonts w:ascii="Helvetica" w:cs="Helvetica" w:eastAsia="Helvetica" w:hAnsi="Helvetica"/>
          <w:color w:val="555555"/>
          <w:sz w:val="18"/>
          <w:szCs w:val="18"/>
        </w:rPr>
        <w:t xml:space="preserve">Festgehalten ist, was im Audit dokumentiert wurde. Wo eine Zelle „nicht festgehalten“ sagt, wurde die Antwort erhoben, aber die Namen nicht notiert.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"/>
        <w:gridCol w:w="2978"/>
        <w:gridCol w:w="2978"/>
        <w:gridCol w:w="2885"/>
      </w:tblGrid>
      <w:tr>
        <w:trPr>
          <w:cantSplit/>
          <w:tblHeader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#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ChatGPT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Perplexity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Gemini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Vergleichstabelle: PageCompliance, DOCTARIS, Caidera, Eckada, HWG-Checker, AppCore; „erste Wahl für den unkomplizierten Einstieg: PageCompliance oder DOCTARIS“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festgehalten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begann eine Antwort, zog sie zurück: „Ich kann dabei nicht helfen“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„einige Hundert bis mehrere Tausend Euro“, zitiert zwei Kanzleien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270 bis 2.500 € je nach Umfang; Abmahnung 1.200 bis 5.000 €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50 bis 200 € je Einzelprüfung, 300 bis 1.000 € je Praxis-Website, 800 bis 2.500 € je Shop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Behörden, IHK, Wettbewerbszentrale; kein Werkzeug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sieben allgemeine Wege (interne Freigabe, Medical und Regulatory Affairs, Verbände, Peer Review); kein Anbieter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anwaltliche Prüfung sei „der Goldstandard“, dazu interne Checklisten; zitiert kpw.law, Ärzteversichert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8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festgehalten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festgehalten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zitiert Pixelrobots und „Zur erfolgreichen Praxis“ (beide in den Google-Top-10)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9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festgehalten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festgehalten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zitiert Bundeszentrum für Ernährung und Verbraucherzentrale (Google-Plätze 1 und 3)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11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Caidera, Dr. Kaske (MediCheck), Symbiofy, Blee, Eckada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Dr. Kaske (KAI/MediCheck), dann PageCompliance als „technische Vorprüfung ohne Rechtsberatung“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nur Dr. Kaske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14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festgehalten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Vier-Tool-Tabelle mit PageCompliance an erster Stelle („sehr passend“), Kern eines empfohlenen Tool-Stacks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zitiert Medizinrecht-Blog und Lyck+Pätzold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15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Software zur Prüfung von Gesundheitswerbung auf HWG und HCVO; zitiert pagecompliance.de; Gründer und Preise unbekannt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KI-gestützte Compliance-Software nach HWG und Health-Claims-Verordnung; zitiert /ueber-uns und LinkedIn</w:t>
            </w:r>
          </w:p>
        </w:tc>
        <w:tc>
          <w:tcPr>
            <w:tcW w:type="dxa" w:w="288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erst „Landing Page Compliance“ (DSGVO, Cookie-Banner, Impressum; One.com, Pandectes), dann „S/E PageCompliance UG“, „FinTech- oder LegalTech-Bereich“, Quelle Creditreform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2.3 Wer insgesamt wie oft genannt wird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4"/>
        <w:gridCol w:w="2792"/>
      </w:tblGrid>
      <w:tr>
        <w:trPr>
          <w:cantSplit/>
          <w:tblHeader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Anbieter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ChatGPT (Antworten von 15)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Caidera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PageCompliance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Eckada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Symbiofy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rukola.app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HWG-Checker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DOCTARIS, AppCore, Dr. Kaske, blee.com, taama.ai, noknots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je 1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Perplexity: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Eckada und PageCompliance liegen vorn, vor Dr. Kaske, AppCore und dem HWG Check von leema. Caidera kommt nicht vor. Nur bei Perplexity tauchen auf: Regly, Cape.io, Improvado, Typetone, Consileon, KI Marketing Studio, Behr’s Digital Health &amp; Nutrition Claims, ClaimGuard, Supplement-Check.eu. ClaimGuard ist laut Plan v1 der englische Name von smugos HWG-Wächter, also kein eigener Wettbewerber.</w:t>
      </w:r>
    </w:p>
    <w:p>
      <w:pPr>
        <w:spacing w:after="140" w:line="30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Gemini: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nennt nur Dr. Kaske als Anbieter (Frage 11).</w:t>
      </w:r>
    </w:p>
    <w:p>
      <w:pPr>
        <w:pStyle w:val="Heading1"/>
        <w:keepNext/>
      </w:pPr>
      <w:r>
        <w:t xml:space="preserve">3 Die 20 Suchbegriffe auf google.de</w:t>
      </w:r>
    </w:p>
    <w:p>
      <w:pPr>
        <w:spacing w:after="140" w:line="30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PageCompliance steht auf 2 von 20 Suchbegriffen in den Top 10, beide Male auf Platz 1 mit einem Blogartikel. Auf den acht Werkzeug-Suchen (1 bis 8) steht keine Seite von PageCompliance.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"/>
        <w:gridCol w:w="2792"/>
        <w:gridCol w:w="1117"/>
        <w:gridCol w:w="1024"/>
        <w:gridCol w:w="1117"/>
        <w:gridCol w:w="2791"/>
      </w:tblGrid>
      <w:tr>
        <w:trPr>
          <w:cantSplit/>
          <w:tblHeader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#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Suchbegriff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Absicht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Tür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PageCompliance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Top 3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HWG Prüfung Software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alle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wordpress.org, eckada.de, hwg-lu.de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HWG Compliance Tool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alle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drkaske.de, eckada.de, viralspoon.de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Heilmittelwerbegesetz Website prüfen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Praxis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dripback.de, leema.ai, huchel-medienagentur.de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Website HWG konform prüfen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Praxis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eckada.de, leema.ai, smugo.de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Health Claims Check Tool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Hersteller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EU-Kommission, bohillebrand.de, rki.de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Compliance Check Gesundheitswerbung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Agentur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eckada.de, verbraucherzentrale.de, aok.de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HWG Prüfung Kosten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alle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hwg-lu.de (Hochschule, alle Plätze)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8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Werbetexte Heilmittelwerbegesetz prüfen lassen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kommerziell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Agentur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gruenlaw.de, eckada.de, dripback.de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9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Heilmittelwerbegesetz was ist erlaubt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alle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gesetze-im-internet.de, dmrz.de, bvmed.de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10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HWG Abmahnung vermeiden Website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Praxis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pixelrobots.de, massageschule-baumann.de, buntdigital.de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11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Heilpraktiker Website was darf ich schreiben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Heilberufe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pixelrobots.de, hybrid-it-solution.com, heilpraktiker-psychotherapie-werden.de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12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Health Claims Verordnung NEM erlaubte Aussagen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Hersteller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bvl.bund.de, bmleh.de, ihk-muenchen.de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13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stärkt das Immunsystem Werbung erlaubt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Hersteller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ndr.de, ernaehrungs-umschau.de, 123recht.de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14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Vorher Nachher Bilder Praxis erlaubt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Ärzte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pa-pure.com, staude.de, schneiderstudios.de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15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Patientenbewertungen Website HWG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Praxis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huchel-medienagentur.de, curanorm.de, it-recht-kanzlei.de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16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schmerzfrei werben Praxis erlaubt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informativ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Ärzte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4"/>
                <w:szCs w:val="14"/>
              </w:rPr>
              <w:t xml:space="preserve">Platz 1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pagecompliance.de, wbs.legal, ratgeberrecht.eu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17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HWG Richtlinien Healthcare Marketing Agentur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Tür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Agentur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1A1A1A"/>
                <w:sz w:val="14"/>
                <w:szCs w:val="14"/>
              </w:rPr>
              <w:t xml:space="preserve">Platz 1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pagecompliance.de, pk-management.de, gesetze-im-internet.de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18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Praxis Website rechtliche Vorgaben Werbung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Tür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Ärzte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blaek.de, medizinio.de, 360clinicconsulting.com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19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Nahrungsergänzungsmittel Werbung Vorschriften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Tür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Hersteller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bzfe.de, heilmittelwerberecht.net, verbraucherzentrale.de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20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Arzt Website Werbung erlaubt HWG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Tür</w:t>
            </w:r>
          </w:p>
        </w:tc>
        <w:tc>
          <w:tcPr>
            <w:tcW w:type="dxa" w:w="102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Ärzte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–</w:t>
            </w:r>
          </w:p>
        </w:tc>
        <w:tc>
          <w:tcPr>
            <w:tcW w:type="dxa" w:w="279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huchel-medienagentur.de, envyo.de, get-luna.de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120640" cy="3147060"/>
            <wp:effectExtent t="0" r="0" b="0" l="0"/>
            <wp:docPr id="1" name="audit_wettbewerb.png" descr="Wie oft eine Domain in den Top 10 der 20 Suchen stand; eigene Erhebung am 26.10.2026" title="Wie oft eine Domain in den Top 10 der 20 Suchen stand; eigene Erhebung am 26.10.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rFonts w:ascii="Helvetica" w:cs="Helvetica" w:eastAsia="Helvetica" w:hAnsi="Helvetica"/>
          <w:color w:val="6B6B6B"/>
          <w:sz w:val="15"/>
          <w:szCs w:val="15"/>
        </w:rPr>
        <w:t xml:space="preserve">Abbildung 1: Wie oft eine Domain in den Top 10 der 20 Suchen stand; eigene Erhebung am 26.10.2026</w:t>
      </w:r>
    </w:p>
    <w:p>
      <w:pPr>
        <w:spacing w:after="140" w:line="30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Drei Beobachtungen: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„HWG“ allein gehört der Hochschule.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Google liest das Kürzel als Hochschule für Wirtschaft und Gesellschaft Ludwigshafen (Suchbegriffe 1 und 7). Tragfähig: „Heilmittelwerbegesetz“ ausgeschrieben oder „HWG“ mit Arzt, Heilpraktiker, Agentur.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Keine KI-Übersicht.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Auf keiner der 20 Suchen zeigte Google eine.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Helvetica" w:cs="Helvetica" w:eastAsia="Helvetica" w:hAnsi="Helvetica"/>
          <w:b/>
          <w:bCs/>
          <w:color w:val="1A1A1A"/>
          <w:sz w:val="20"/>
          <w:szCs w:val="20"/>
        </w:rPr>
        <w:t xml:space="preserve">Behörden besetzen die reinen Rechtsfragen</w:t>
      </w: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 (9, 12, 19). Diese drei gehören nicht auf die Zielliste.</w:t>
      </w:r>
    </w:p>
    <w:p>
      <w:pPr>
        <w:spacing w:after="60"/>
      </w:pPr>
    </w:p>
    <w:p>
      <w:pPr>
        <w:pStyle w:val="Heading2"/>
        <w:keepNext/>
      </w:pPr>
      <w:r>
        <w:t xml:space="preserve">Die Markensuche „PageCompliance“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1"/>
        <w:gridCol w:w="5118"/>
        <w:gridCol w:w="3257"/>
      </w:tblGrid>
      <w:tr>
        <w:trPr>
          <w:cantSplit/>
          <w:tblHeader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Platz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Treffer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Bewertung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pagecompliance.de (Startseite)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richtig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pagecompliance.de/ueber-uns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richtig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pagecompliance.de/login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gehört nicht in den Index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Ryte Wiki, Website-Compliance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fremder Treffer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iubenda, Website-Compliance-Checkliste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fremder Treffer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pagecompliance.de/pricing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richtig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Michael Page, Compliance-Jobs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Namensverwechslung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11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Business Insider, Website-Compliance</w:t>
            </w:r>
          </w:p>
        </w:tc>
        <w:tc>
          <w:tcPr>
            <w:tcW w:type="dxa" w:w="325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fremder Treffer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Googles „Weitere Fragen“ zur Markensuche lauten „Was versteht man unter Compliance?“ und „Wie heißt Compliance auf Deutsch?“: Google erkennt die Marke nicht als Firma.</w:t>
      </w:r>
    </w:p>
    <w:p>
      <w:pPr>
        <w:pStyle w:val="Heading1"/>
        <w:keepNext/>
      </w:pPr>
      <w:r>
        <w:t xml:space="preserve">4 Belegte Fragen aus Google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95"/>
        <w:gridCol w:w="1303"/>
        <w:gridCol w:w="1675"/>
        <w:gridCol w:w="2233"/>
      </w:tblGrid>
      <w:tr>
        <w:trPr>
          <w:cantSplit/>
          <w:tblHeader/>
        </w:trPr>
        <w:tc>
          <w:tcPr>
            <w:tcW w:type="dxa" w:w="409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Wiederkehrende Frage („Weitere Fragen“)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Suchen</w:t>
            </w:r>
          </w:p>
        </w:tc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Eigener Artikel</w:t>
            </w: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Geplant</w:t>
            </w:r>
          </w:p>
        </w:tc>
      </w:tr>
      <w:tr>
        <w:trPr>
          <w:cantSplit/>
        </w:trPr>
        <w:tc>
          <w:tcPr>
            <w:tcW w:type="dxa" w:w="409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Sind Heilversprechen strafbar?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4 von 20</w:t>
            </w:r>
          </w:p>
        </w:tc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fehlt</w:t>
            </w: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1</w:t>
            </w:r>
          </w:p>
        </w:tc>
      </w:tr>
      <w:tr>
        <w:trPr>
          <w:cantSplit/>
        </w:trPr>
        <w:tc>
          <w:tcPr>
            <w:tcW w:type="dxa" w:w="409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Für wen gilt das Heilmittelwerbegesetz?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3 von 20</w:t>
            </w:r>
          </w:p>
        </w:tc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fehlt</w:t>
            </w: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4</w:t>
            </w:r>
          </w:p>
        </w:tc>
      </w:tr>
      <w:tr>
        <w:trPr>
          <w:cantSplit/>
        </w:trPr>
        <w:tc>
          <w:tcPr>
            <w:tcW w:type="dxa" w:w="409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Welche Werbung darf ein Arzt (nicht) machen?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2 von 20</w:t>
            </w:r>
          </w:p>
        </w:tc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fehlt</w:t>
            </w: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3</w:t>
            </w:r>
          </w:p>
        </w:tc>
      </w:tr>
      <w:tr>
        <w:trPr>
          <w:cantSplit/>
        </w:trPr>
        <w:tc>
          <w:tcPr>
            <w:tcW w:type="dxa" w:w="409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Sind Vorher-Nachher-Bilder erlaubt?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1 von 20</w:t>
            </w:r>
          </w:p>
        </w:tc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vorhanden</w:t>
            </w: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korrigieren (M4)</w:t>
            </w: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4"/>
        <w:gridCol w:w="2792"/>
      </w:tblGrid>
      <w:tr>
        <w:trPr>
          <w:cantSplit/>
          <w:tblHeader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Autocomplete (27.10.2026)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Geplant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heilversprechen strafbar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1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arzt werbung was ist erlaubt was verboten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3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heilversprechen formulierungen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5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heilmittelwerbegesetz physiotherapie · werbung physiotherapie erlaubt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6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botox werbung verboten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Artikel 7</w:t>
            </w:r>
          </w:p>
        </w:tc>
      </w:tr>
      <w:tr>
        <w:trPr>
          <w:cantSplit/>
        </w:trPr>
        <w:tc>
          <w:tcPr>
            <w:tcW w:type="dxa" w:w="651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heilmittelwerbegesetz heilpraktiker · werbung heilpraktiker was ist erlaubt</w:t>
            </w:r>
          </w:p>
        </w:tc>
        <w:tc>
          <w:tcPr>
            <w:tcW w:type="dxa" w:w="2792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Umbau Heilpraktiker-Artikel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5 Die Konkurrenz</w:t>
      </w:r>
    </w:p>
    <w:p>
      <w:pPr>
        <w:pStyle w:val="Heading2"/>
        <w:keepNext/>
      </w:pPr>
      <w:r>
        <w:t xml:space="preserve">5.1 Werkzeuge und Dienste (nachgeprüft am 27.10.2026)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75"/>
        <w:gridCol w:w="3536"/>
        <w:gridCol w:w="1861"/>
        <w:gridCol w:w="2234"/>
      </w:tblGrid>
      <w:tr>
        <w:trPr>
          <w:cantSplit/>
          <w:tblHeader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Anbieter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Was es wirklich ist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Preis laut Seite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4"/>
                <w:szCs w:val="14"/>
              </w:rPr>
              <w:t xml:space="preserve">Bedeutung für uns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smugo („HWG-Wächter“, englisch „ClaimGuard“)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einmalige Dienstleistung: Durchleuchtung, Befund-Bericht, neu formulierte Texte, optional Umsetzung im CMS; Shops, Hersteller, Praxen, Heilberufe; Agenturen als White-Label-Partner; DE und Schweiz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Erst-Check kostenlos, danach Festpreis nach Umfang, „keine Abos“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direkter Gegenentwurf: Service statt Software; Konkurrent bei Agenturen; rankt auf drei Suchbegriffen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Caidera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Plattform für Marketing-Content in regulierten Branchen (Pharma, MedTech, Food, Kosmetik, Finanzen) mit Freigabe-Workflow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genannt, Demo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Enterprise; bei ChatGPT meistgenannt (4 von 15)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Dr. Kaske (MediCheck, KAI)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KI-Überwachung von Social-Media-Kommentaren für Pharma: HWG-Verstöße und Nebenwirkungsmeldungen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genannt, Demo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andere Zielgruppe, besetzt aber die Kategoriefrage (Frage 11)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AppCore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Health Claims als Teil eines CMS-Pakets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Erst-Audit kostenlos, CMS-Umzug einmalig 990 bis 3.990 € netto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Hersteller-Tür, nur im Paket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leema.ai (HWG Check)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Plattform für medizinische Cannabis-Therapie; HWG-Plugin kostenlos, regelbasiert („15 Regelgruppen“), nur WordPress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kostenlos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besetzt „kostenlos“ und „HWG Check“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eckada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Digitalagentur für kleine Betriebe mit App „Werbetext-Check“ für Heilversprechen und Umweltaussagen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auf Anfrage, eine Seite kostenlos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eher Partner als Wettbewerber; sichtbar auf fünf Suchen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dripback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KI-Agentur für den Mittelstand in OWL; auf der Startseite kein HWG-Check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Module ab 49 € im Monat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kein Prüf-Anbieter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DOCTARIS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Prüfung eingegebener Texte und Adressen, unbegrenzt, ohne Beobachtung (Strategiebericht Pricing)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15,96 € im Monat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Preisanker für Praxen; von ChatGPT neben uns als Einstieg genannt</w:t>
            </w:r>
          </w:p>
        </w:tc>
      </w:tr>
      <w:tr>
        <w:trPr>
          <w:cantSplit/>
        </w:trPr>
        <w:tc>
          <w:tcPr>
            <w:tcW w:type="dxa" w:w="167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Weitere aus der Google-Suche</w:t>
            </w:r>
          </w:p>
        </w:tc>
        <w:tc>
          <w:tcPr>
            <w:tcW w:type="dxa" w:w="3536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evalii.de, smileai.de, hub-strategy.com: PV/HWG-Prüfung, Content-Copilot, AI-Act-Precheck</w:t>
            </w:r>
          </w:p>
        </w:tc>
        <w:tc>
          <w:tcPr>
            <w:tcW w:type="dxa" w:w="186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nicht geprüft</w:t>
            </w:r>
          </w:p>
        </w:tc>
        <w:tc>
          <w:tcPr>
            <w:tcW w:type="dxa" w:w="2234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4"/>
                <w:szCs w:val="14"/>
              </w:rPr>
              <w:t xml:space="preserve">beobachten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5.2 Agenturen, die die Ratgeber-Suchen besetzen</w:t>
      </w:r>
    </w:p>
    <w:p>
      <w:pPr>
        <w:spacing w:after="140" w:line="30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envyo.de, get-luna.de, huchel-medienagentur.de, pixelrobots.de, buntdigital.de, adfera.de. Sie bauen Websites für Heilberufe und schreiben über das Heilmittelwerbegesetz, weil ihre Kunden fragen. Sie verkaufen keine Prüfung und sind deshalb Partner, keine Wettbewerber: Ein Gastbeitrag bei ihnen bringt Link und Zielgruppe (M9). Zugleich gehören sie zu Tür 1, dem Hauptkäufer.</w:t>
      </w:r>
    </w:p>
    <w:p>
      <w:pPr>
        <w:pStyle w:val="Heading2"/>
        <w:keepNext/>
      </w:pPr>
      <w:r>
        <w:t xml:space="preserve">5.3 Behörden und Fachmedien</w:t>
      </w:r>
    </w:p>
    <w:p>
      <w:pPr>
        <w:spacing w:after="140" w:line="30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Auf den reinen Rechtsfragen gewinnen gesetze-im-internet.de, BVL, BfR, Bundeszentrum für Ernährung, Verbraucherzentrale, Ärzteblatt, Bundesärztekammer, DocCheck und Thieme. Gegen sie ist nicht anzukommen; sie sind Quellen zum Verlinken, keine Gegner.</w:t>
      </w:r>
    </w:p>
    <w:p>
      <w:pPr>
        <w:pStyle w:val="Heading2"/>
        <w:keepNext/>
      </w:pPr>
      <w:r>
        <w:t xml:space="preserve">5.4 Wie wir uns unterscheiden (intern)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3"/>
        <w:gridCol w:w="4653"/>
      </w:tblGrid>
      <w:tr>
        <w:trPr>
          <w:cantSplit/>
          <w:tblHeader/>
        </w:trPr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smugo</w:t>
            </w:r>
          </w:p>
        </w:tc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PageCompliance</w:t>
            </w:r>
          </w:p>
        </w:tc>
      </w:tr>
      <w:tr>
        <w:trPr>
          <w:cantSplit/>
        </w:trPr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einmalige Prüfung</w:t>
            </w:r>
          </w:p>
        </w:tc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Prüfung bei jedem neuen Text; Beobachtung der Live-Seiten im Bau</w:t>
            </w:r>
          </w:p>
        </w:tc>
      </w:tr>
      <w:tr>
        <w:trPr>
          <w:cantSplit/>
        </w:trPr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Agentur prüft und schreibt um</w:t>
            </w:r>
          </w:p>
        </w:tc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die Software prüft, der Kunde entscheidet und ändert selbst</w:t>
            </w:r>
          </w:p>
        </w:tc>
      </w:tr>
      <w:tr>
        <w:trPr>
          <w:cantSplit/>
        </w:trPr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Festpreis nach Umfang</w:t>
            </w:r>
          </w:p>
        </w:tc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im Paket, in Einheiten</w:t>
            </w:r>
          </w:p>
        </w:tc>
      </w:tr>
      <w:tr>
        <w:trPr>
          <w:cantSplit/>
        </w:trPr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Agentur arbeitet als White-Label-Partner</w:t>
            </w:r>
          </w:p>
        </w:tc>
        <w:tc>
          <w:tcPr>
            <w:tcW w:type="dxa" w:w="465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6"/>
                <w:szCs w:val="16"/>
              </w:rPr>
              <w:t xml:space="preserve">Agentur bietet die Prüfung in eigenem Namen an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Helvetica" w:cs="Helvetica" w:eastAsia="Helvetica" w:hAnsi="Helvetica"/>
          <w:color w:val="1A1A1A"/>
          <w:sz w:val="20"/>
          <w:szCs w:val="20"/>
        </w:rPr>
        <w:t xml:space="preserve">Öffentlich wird kein Wettbewerber namentlich angegriffen.</w:t>
      </w:r>
    </w:p>
    <w:p>
      <w:pPr>
        <w:pStyle w:val="Heading1"/>
        <w:keepNext/>
      </w:pPr>
      <w:r>
        <w:t xml:space="preserve">6 Messtabelle für die Wiederholung (M13)</w:t>
      </w:r>
    </w:p>
    <w:p>
      <w:pPr>
        <w:spacing w:after="140" w:line="300"/>
        <w:rPr>
          <w:sz w:val="18"/>
          <w:szCs w:val="18"/>
        </w:rPr>
      </w:pPr>
      <w:r>
        <w:rPr>
          <w:rFonts w:ascii="Helvetica" w:cs="Helvetica" w:eastAsia="Helvetica" w:hAnsi="Helvetica"/>
          <w:color w:val="1A1A1A"/>
          <w:sz w:val="18"/>
          <w:szCs w:val="18"/>
        </w:rPr>
        <w:t xml:space="preserve">Je Frage und System drei Durchläufe. Eintragen: „–“ für nicht genannt, „g“ für genannt, „P1“, „P2“ … für den Platz, „z“ wenn pagecompliance.de zitiert wird, „L“ wenn LinkedIn zitiert wird. Datum der Messung: ____________</w:t>
      </w: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27"/>
      </w:tblGrid>
      <w:tr>
        <w:trPr>
          <w:cantSplit/>
          <w:tblHeader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#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GPT 1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GPT 2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GPT 3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Perp 1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Perp 2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Perp 3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Gem 1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Gem 2</w:t>
            </w: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Gem 3</w:t>
            </w: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31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92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</w:tbl>
    <w:p>
      <w:pPr>
        <w:spacing w:after="160"/>
      </w:pPr>
    </w:p>
    <w:tbl>
      <w:tblPr>
        <w:tblW w:type="dxa" w:w="93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5"/>
        <w:gridCol w:w="4188"/>
        <w:gridCol w:w="1303"/>
        <w:gridCol w:w="1117"/>
        <w:gridCol w:w="2233"/>
      </w:tblGrid>
      <w:tr>
        <w:trPr>
          <w:cantSplit/>
          <w:tblHeader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#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Suchbegriff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Platz 26.10.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Platz neu</w:t>
            </w: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444444" w:sz="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5"/>
                <w:szCs w:val="15"/>
              </w:rPr>
              <w:t xml:space="preserve">Top 3 neu</w:t>
            </w: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HWG Prüfung Software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HWG Compliance Tool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Heilmittelwerbegesetz Website prüfen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Website HWG konform prüfen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Health Claims Check Tool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Compliance Check Gesundheitswerbung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HWG Prüfung Kosten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Werbetexte Heilmittelwerbegesetz prüfen lassen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Heilmittelwerbegesetz was ist erlaubt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HWG Abmahnung vermeiden Website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Heilpraktiker Website was darf ich schreiben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Health Claims Verordnung NEM erlaubte Aussagen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stärkt das Immunsystem Werbung erlaubt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Vorher Nachher Bilder Praxis erlaubt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Patientenbewertungen Website HWG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schmerzfrei werben Praxis erlaubt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17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HWG Richtlinien Healthcare Marketing Agentur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Praxis Website rechtliche Vorgaben Werbung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19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Nahrungsergänzungsmittel Werbung Vorschriften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  <w:tr>
        <w:trPr>
          <w:cantSplit/>
        </w:trPr>
        <w:tc>
          <w:tcPr>
            <w:tcW w:type="dxa" w:w="465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4188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Arzt Website Werbung erlaubt HWG</w:t>
            </w:r>
          </w:p>
        </w:tc>
        <w:tc>
          <w:tcPr>
            <w:tcW w:type="dxa" w:w="130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  <w:r>
              <w:rPr>
                <w:rFonts w:ascii="Helvetica" w:cs="Helvetica" w:eastAsia="Helvetica" w:hAnsi="Helvetica"/>
                <w:color w:val="1A1A1A"/>
                <w:sz w:val="15"/>
                <w:szCs w:val="15"/>
              </w:rPr>
              <w:t xml:space="preserve">–</w:t>
            </w:r>
          </w:p>
        </w:tc>
        <w:tc>
          <w:tcPr>
            <w:tcW w:type="dxa" w:w="1117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  <w:tc>
          <w:tcPr>
            <w:tcW w:type="dxa" w:w="2233"/>
            <w:tcBorders>
              <w:top w:val="none" w:color="FFFFFF" w:sz="0"/>
              <w:left w:val="none" w:color="FFFFFF" w:sz="0"/>
              <w:bottom w:val="single" w:color="D6D6D6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50"/>
            </w:pPr>
          </w:p>
        </w:tc>
      </w:tr>
    </w:tbl>
    <w:p>
      <w:pPr>
        <w:spacing w:after="160"/>
      </w:pPr>
    </w:p>
    <w:sectPr>
      <w:footerReference w:type="default" r:id="rId7"/>
      <w:footerReference w:type="first" r:id="rId8"/>
      <w:pgSz w:w="11906" w:h="16838" w:orient="portrait"/>
      <w:pgMar w:top="1300" w:right="1300" w:bottom="1300" w:left="1300" w:header="708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" w:cs="Helvetica" w:eastAsia="Helvetica" w:hAnsi="Helvetica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Helvetica" w:cs="Helvetica" w:eastAsia="Helvetica" w:hAnsi="Helvetica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Helvetica" w:cs="Helvetica" w:eastAsia="Helvetica" w:hAnsi="Helvetica"/>
      <w:b/>
      <w:bCs/>
      <w:color w:val="1A1A1A"/>
      <w:sz w:val="22"/>
      <w:szCs w:val="22"/>
    </w:rPr>
  </w:style>
  <w:style w:type="paragraph" w:styleId="TOC1">
    <w:name w:val="toc 1"/>
    <w:basedOn w:val="Normal"/>
    <w:pPr>
      <w:spacing w:after="20" w:before="100"/>
    </w:pPr>
    <w:rPr>
      <w:rFonts w:ascii="Helvetica" w:cs="Helvetica" w:eastAsia="Helvetica" w:hAnsi="Helvetica"/>
      <w:b/>
      <w:bCs/>
      <w:sz w:val="18"/>
      <w:szCs w:val="18"/>
    </w:rPr>
  </w:style>
  <w:style w:type="paragraph" w:styleId="TOC2">
    <w:name w:val="toc 2"/>
    <w:basedOn w:val="Normal"/>
    <w:pPr>
      <w:spacing w:after="20"/>
      <w:ind w:left="360"/>
    </w:pPr>
    <w:rPr>
      <w:rFonts w:ascii="Helvetica" w:cs="Helvetica" w:eastAsia="Helvetica" w:hAnsi="Helvetica"/>
      <w:sz w:val="17"/>
      <w:szCs w:val="17"/>
    </w:rPr>
  </w:style>
  <w:style w:type="paragraph" w:styleId="FootnoteText">
    <w:name w:val="footnote text"/>
    <w:basedOn w:val="Normal"/>
    <w:rPr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085158e202487af41573c17037abdf3c8ac1fa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Fragen, Rankings und Wettbewerb</dc:title>
  <dc:creator>PageCompliance</dc:creator>
  <dc:description>Fragen, Rankings und Wettbewerb</dc:description>
  <cp:lastModifiedBy>Un-named</cp:lastModifiedBy>
  <cp:revision>1</cp:revision>
  <dcterms:created xsi:type="dcterms:W3CDTF">2026-10-28T11:18:44.421Z</dcterms:created>
  <dcterms:modified xsi:type="dcterms:W3CDTF">2026-10-28T11:18:44.421Z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