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B365D"/>
          <w:sz w:val="48"/>
        </w:rPr>
        <w:t>YUVA INTERNSHIP PROGRAM: WEEK 2 TASK</w:t>
      </w:r>
    </w:p>
    <w:p>
      <w:pPr>
        <w:spacing w:after="400"/>
        <w:jc w:val="center"/>
      </w:pPr>
      <w:r>
        <w:rPr>
          <w:rFonts w:ascii="Calibri" w:hAnsi="Calibri"/>
          <w:i/>
          <w:color w:val="4A777A"/>
          <w:sz w:val="28"/>
        </w:rPr>
        <w:t>Data Visualization &amp; Insight Communication using R</w:t>
        <w:br/>
        <w:t>Author: Student Intern | Track: Data Analytics &amp; Business Intelligence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4680"/>
            <w:shd w:fill="F1F5F9"/>
          </w:tcPr>
          <w:p>
            <w:pPr>
              <w:spacing w:before="60" w:after="60"/>
            </w:pPr>
            <w:r>
              <w:rPr>
                <w:b/>
                <w:color w:val="1B365D"/>
                <w:sz w:val="19"/>
              </w:rPr>
              <w:t>Internship Track:</w:t>
            </w:r>
          </w:p>
        </w:tc>
        <w:tc>
          <w:tcPr>
            <w:tcW w:type="dxa" w:w="4680"/>
            <w:shd w:fill="FFFFFF"/>
          </w:tcPr>
          <w:p>
            <w:pPr>
              <w:spacing w:before="60" w:after="60"/>
            </w:pPr>
            <w:r>
              <w:rPr>
                <w:sz w:val="19"/>
              </w:rPr>
              <w:t>Data Analytics &amp; Business Intelligence</w:t>
            </w:r>
          </w:p>
        </w:tc>
      </w:tr>
      <w:tr>
        <w:tc>
          <w:tcPr>
            <w:tcW w:type="dxa" w:w="4680"/>
            <w:shd w:fill="F1F5F9"/>
          </w:tcPr>
          <w:p>
            <w:pPr>
              <w:spacing w:before="60" w:after="60"/>
            </w:pPr>
            <w:r>
              <w:rPr>
                <w:b/>
                <w:color w:val="1B365D"/>
                <w:sz w:val="19"/>
              </w:rPr>
              <w:t>Task Deliverable:</w:t>
            </w:r>
          </w:p>
        </w:tc>
        <w:tc>
          <w:tcPr>
            <w:tcW w:type="dxa" w:w="4680"/>
            <w:shd w:fill="FFFFFF"/>
          </w:tcPr>
          <w:p>
            <w:pPr>
              <w:spacing w:before="60" w:after="60"/>
            </w:pPr>
            <w:r>
              <w:rPr>
                <w:sz w:val="19"/>
              </w:rPr>
              <w:t>Week 2 - Data Visualization and Insight Communication</w:t>
            </w:r>
          </w:p>
        </w:tc>
      </w:tr>
      <w:tr>
        <w:tc>
          <w:tcPr>
            <w:tcW w:type="dxa" w:w="4680"/>
            <w:shd w:fill="F1F5F9"/>
          </w:tcPr>
          <w:p>
            <w:pPr>
              <w:spacing w:before="60" w:after="60"/>
            </w:pPr>
            <w:r>
              <w:rPr>
                <w:b/>
                <w:color w:val="1B365D"/>
                <w:sz w:val="19"/>
              </w:rPr>
              <w:t>Estimated Effort Hours:</w:t>
            </w:r>
          </w:p>
        </w:tc>
        <w:tc>
          <w:tcPr>
            <w:tcW w:type="dxa" w:w="4680"/>
            <w:shd w:fill="FFFFFF"/>
          </w:tcPr>
          <w:p>
            <w:pPr>
              <w:spacing w:before="60" w:after="60"/>
            </w:pPr>
            <w:r>
              <w:rPr>
                <w:sz w:val="19"/>
              </w:rPr>
              <w:t>32 Hours (Target: 30 - 35 Hours)</w:t>
            </w:r>
          </w:p>
        </w:tc>
      </w:tr>
      <w:tr>
        <w:tc>
          <w:tcPr>
            <w:tcW w:type="dxa" w:w="4680"/>
            <w:shd w:fill="F1F5F9"/>
          </w:tcPr>
          <w:p>
            <w:pPr>
              <w:spacing w:before="60" w:after="60"/>
            </w:pPr>
            <w:r>
              <w:rPr>
                <w:b/>
                <w:color w:val="1B365D"/>
                <w:sz w:val="19"/>
              </w:rPr>
              <w:t>Primary Tools Used:</w:t>
            </w:r>
          </w:p>
        </w:tc>
        <w:tc>
          <w:tcPr>
            <w:tcW w:type="dxa" w:w="4680"/>
            <w:shd w:fill="FFFFFF"/>
          </w:tcPr>
          <w:p>
            <w:pPr>
              <w:spacing w:before="60" w:after="60"/>
            </w:pPr>
            <w:r>
              <w:rPr>
                <w:sz w:val="19"/>
              </w:rPr>
              <w:t>R (ggplot2, lattice, gridExtra, dplyr), RStudio, Python docx</w:t>
            </w:r>
          </w:p>
        </w:tc>
      </w:tr>
    </w:tbl>
    <w:p>
      <w:pPr>
        <w:spacing w:after="200"/>
      </w:pPr>
    </w:p>
    <w:p>
      <w:pPr>
        <w:keepNext/>
        <w:spacing w:before="360" w:after="120"/>
      </w:pPr>
      <w:r>
        <w:rPr>
          <w:rFonts w:ascii="Calibri" w:hAnsi="Calibri"/>
          <w:b/>
          <w:color w:val="1B365D"/>
          <w:sz w:val="32"/>
        </w:rPr>
        <w:t>1. Executive Summary</w:t>
      </w:r>
    </w:p>
    <w:p>
      <w:pPr>
        <w:spacing w:after="120" w:line="276" w:lineRule="auto"/>
      </w:pPr>
      <w:r>
        <w:t>This technical report presents the completed deliverables for Week 2 of the YUVA Internship Program. The primary objective of this week's task is to leverage statistical graphics and dynamic visualizations in R to analyze, interpret, and communicate complex consumer behavior trends to non-technical stakeholders. Over an intensive 32-hour work cycle, a comprehensive dataset of 1,000 retail customer profiles was curated, processed, and subjected to rigorous exploratory data analysis (EDA).</w:t>
      </w:r>
    </w:p>
    <w:p>
      <w:pPr>
        <w:spacing w:after="120" w:line="276" w:lineRule="auto"/>
      </w:pPr>
      <w:r>
        <w:t>Using advanced R visual libraries—predominantly ggplot2 and lattice—we evaluated five core behavioral vectors: demographic distributions, income-to-spending elasticity, categorical spending preferences, regional purchasing volumes, and churn risk markers. The empirical findings reveal critical business insights, including a strong income-spending bimodal clustering in high-income tiers, significant regional dominance in North America, and specific spending thresholds that signal customer churn risk. The report details the workflow, visualization mechanics, embedded reproducible R code, and actionable strategic recommendations.</w:t>
      </w:r>
    </w:p>
    <w:tbl>
      <w:tblPr>
        <w:tblW w:type="auto" w:w="0"/>
        <w:jc w:val="center"/>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Pr>
          <w:p>
            <w:pPr>
              <w:spacing w:before="120" w:after="120"/>
              <w:ind w:left="144" w:right="144"/>
            </w:pPr>
            <w:r>
              <w:rPr>
                <w:b/>
                <w:color w:val="1B365D"/>
                <w:sz w:val="22"/>
              </w:rPr>
              <w:t>Executive Highlight</w:t>
              <w:br/>
            </w:r>
            <w:r>
              <w:rPr>
                <w:i/>
                <w:color w:val="2C3E50"/>
                <w:sz w:val="20"/>
              </w:rPr>
              <w:t>Key Takeaway: Visual data storytelling bridges the gap between raw quantitative parameters and strategic decision-making. Through structured graphic grammar in ggplot2, complex multi-variable interactions are rendered intuitive for executive decision-makers.</w:t>
            </w:r>
          </w:p>
        </w:tc>
      </w:tr>
    </w:tbl>
    <w:p>
      <w:pPr>
        <w:spacing w:after="80"/>
      </w:pPr>
    </w:p>
    <w:p>
      <w:pPr>
        <w:keepNext/>
        <w:spacing w:before="360" w:after="120"/>
      </w:pPr>
      <w:r>
        <w:rPr>
          <w:rFonts w:ascii="Calibri" w:hAnsi="Calibri"/>
          <w:b/>
          <w:color w:val="1B365D"/>
          <w:sz w:val="32"/>
        </w:rPr>
        <w:t>2. Data Overview &amp; Variable Definitions</w:t>
      </w:r>
    </w:p>
    <w:p>
      <w:pPr>
        <w:spacing w:after="120" w:line="276" w:lineRule="auto"/>
      </w:pPr>
      <w:r>
        <w:t>To simulate a realistic enterprise data analytics scenario, the analysis utilizes an E-Commerce Customer Purchasing Behavior dataset comprising N = 1,000 customer records across 9 distinct structural parameters. The dataset provides a balanced mix of demographic attributes, transactional metrics, and behavioral scores required for multi-dimensional segmentation.</w:t>
      </w:r>
    </w:p>
    <w:p>
      <w:pPr>
        <w:keepNext/>
        <w:spacing w:before="280" w:after="80"/>
      </w:pPr>
      <w:r>
        <w:rPr>
          <w:rFonts w:ascii="Calibri" w:hAnsi="Calibri"/>
          <w:b/>
          <w:color w:val="2B5C8F"/>
          <w:sz w:val="26"/>
        </w:rPr>
        <w:t>2.1 Data Dictionary &amp; Variable Schema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shd w:fill="1B365D"/>
          </w:tcPr>
          <w:p>
            <w:pPr>
              <w:spacing w:before="80" w:after="80"/>
              <w:jc w:val="left"/>
            </w:pPr>
            <w:r>
              <w:rPr>
                <w:b/>
                <w:color w:val="FFFFFF"/>
                <w:sz w:val="19"/>
              </w:rPr>
              <w:t>Variable Name</w:t>
            </w:r>
          </w:p>
        </w:tc>
        <w:tc>
          <w:tcPr>
            <w:tcW w:type="dxa" w:w="2340"/>
            <w:shd w:fill="1B365D"/>
          </w:tcPr>
          <w:p>
            <w:pPr>
              <w:spacing w:before="80" w:after="80"/>
              <w:jc w:val="left"/>
            </w:pPr>
            <w:r>
              <w:rPr>
                <w:b/>
                <w:color w:val="FFFFFF"/>
                <w:sz w:val="19"/>
              </w:rPr>
              <w:t>Data Type</w:t>
            </w:r>
          </w:p>
        </w:tc>
        <w:tc>
          <w:tcPr>
            <w:tcW w:type="dxa" w:w="2340"/>
            <w:shd w:fill="1B365D"/>
          </w:tcPr>
          <w:p>
            <w:pPr>
              <w:spacing w:before="80" w:after="80"/>
              <w:jc w:val="left"/>
            </w:pPr>
            <w:r>
              <w:rPr>
                <w:b/>
                <w:color w:val="FFFFFF"/>
                <w:sz w:val="19"/>
              </w:rPr>
              <w:t>Scale / Range</w:t>
            </w:r>
          </w:p>
        </w:tc>
        <w:tc>
          <w:tcPr>
            <w:tcW w:type="dxa" w:w="2340"/>
            <w:shd w:fill="1B365D"/>
          </w:tcPr>
          <w:p>
            <w:pPr>
              <w:spacing w:before="80" w:after="80"/>
              <w:jc w:val="left"/>
            </w:pPr>
            <w:r>
              <w:rPr>
                <w:b/>
                <w:color w:val="FFFFFF"/>
                <w:sz w:val="19"/>
              </w:rPr>
              <w:t>Business Description</w:t>
            </w:r>
          </w:p>
        </w:tc>
      </w:tr>
      <w:tr>
        <w:tc>
          <w:tcPr>
            <w:tcW w:type="dxa" w:w="2340"/>
            <w:shd w:fill="FFFFFF"/>
          </w:tcPr>
          <w:p>
            <w:pPr>
              <w:spacing w:before="60" w:after="60"/>
            </w:pPr>
            <w:r>
              <w:rPr>
                <w:sz w:val="18"/>
              </w:rPr>
              <w:t>CustomerID</w:t>
            </w:r>
          </w:p>
        </w:tc>
        <w:tc>
          <w:tcPr>
            <w:tcW w:type="dxa" w:w="2340"/>
            <w:shd w:fill="F8FAFC"/>
          </w:tcPr>
          <w:p>
            <w:pPr>
              <w:spacing w:before="60" w:after="60"/>
            </w:pPr>
            <w:r>
              <w:rPr>
                <w:sz w:val="18"/>
              </w:rPr>
              <w:t>Character</w:t>
            </w:r>
          </w:p>
        </w:tc>
        <w:tc>
          <w:tcPr>
            <w:tcW w:type="dxa" w:w="2340"/>
            <w:shd w:fill="FFFFFF"/>
          </w:tcPr>
          <w:p>
            <w:pPr>
              <w:spacing w:before="60" w:after="60"/>
            </w:pPr>
            <w:r>
              <w:rPr>
                <w:sz w:val="18"/>
              </w:rPr>
              <w:t>CUST-10000 to CUST-10999</w:t>
            </w:r>
          </w:p>
        </w:tc>
        <w:tc>
          <w:tcPr>
            <w:tcW w:type="dxa" w:w="2340"/>
            <w:shd w:fill="F8FAFC"/>
          </w:tcPr>
          <w:p>
            <w:pPr>
              <w:spacing w:before="60" w:after="60"/>
            </w:pPr>
            <w:r>
              <w:rPr>
                <w:sz w:val="18"/>
              </w:rPr>
              <w:t>Unique alphanumeric identifier for each customer record.</w:t>
            </w:r>
          </w:p>
        </w:tc>
      </w:tr>
      <w:tr>
        <w:tc>
          <w:tcPr>
            <w:tcW w:type="dxa" w:w="2340"/>
            <w:shd w:fill="FFFFFF"/>
          </w:tcPr>
          <w:p>
            <w:pPr>
              <w:spacing w:before="60" w:after="60"/>
            </w:pPr>
            <w:r>
              <w:rPr>
                <w:sz w:val="18"/>
              </w:rPr>
              <w:t>Age</w:t>
            </w:r>
          </w:p>
        </w:tc>
        <w:tc>
          <w:tcPr>
            <w:tcW w:type="dxa" w:w="2340"/>
            <w:shd w:fill="F8FAFC"/>
          </w:tcPr>
          <w:p>
            <w:pPr>
              <w:spacing w:before="60" w:after="60"/>
            </w:pPr>
            <w:r>
              <w:rPr>
                <w:sz w:val="18"/>
              </w:rPr>
              <w:t>Integer</w:t>
            </w:r>
          </w:p>
        </w:tc>
        <w:tc>
          <w:tcPr>
            <w:tcW w:type="dxa" w:w="2340"/>
            <w:shd w:fill="FFFFFF"/>
          </w:tcPr>
          <w:p>
            <w:pPr>
              <w:spacing w:before="60" w:after="60"/>
            </w:pPr>
            <w:r>
              <w:rPr>
                <w:sz w:val="18"/>
              </w:rPr>
              <w:t>18 to 70 years</w:t>
            </w:r>
          </w:p>
        </w:tc>
        <w:tc>
          <w:tcPr>
            <w:tcW w:type="dxa" w:w="2340"/>
            <w:shd w:fill="F8FAFC"/>
          </w:tcPr>
          <w:p>
            <w:pPr>
              <w:spacing w:before="60" w:after="60"/>
            </w:pPr>
            <w:r>
              <w:rPr>
                <w:sz w:val="18"/>
              </w:rPr>
              <w:t>Age of the customer in years (Demographic indicator).</w:t>
            </w:r>
          </w:p>
        </w:tc>
      </w:tr>
      <w:tr>
        <w:tc>
          <w:tcPr>
            <w:tcW w:type="dxa" w:w="2340"/>
            <w:shd w:fill="FFFFFF"/>
          </w:tcPr>
          <w:p>
            <w:pPr>
              <w:spacing w:before="60" w:after="60"/>
            </w:pPr>
            <w:r>
              <w:rPr>
                <w:sz w:val="18"/>
              </w:rPr>
              <w:t>Gender</w:t>
            </w:r>
          </w:p>
        </w:tc>
        <w:tc>
          <w:tcPr>
            <w:tcW w:type="dxa" w:w="2340"/>
            <w:shd w:fill="F8FAFC"/>
          </w:tcPr>
          <w:p>
            <w:pPr>
              <w:spacing w:before="60" w:after="60"/>
            </w:pPr>
            <w:r>
              <w:rPr>
                <w:sz w:val="18"/>
              </w:rPr>
              <w:t>Factor</w:t>
            </w:r>
          </w:p>
        </w:tc>
        <w:tc>
          <w:tcPr>
            <w:tcW w:type="dxa" w:w="2340"/>
            <w:shd w:fill="FFFFFF"/>
          </w:tcPr>
          <w:p>
            <w:pPr>
              <w:spacing w:before="60" w:after="60"/>
            </w:pPr>
            <w:r>
              <w:rPr>
                <w:sz w:val="18"/>
              </w:rPr>
              <w:t>Female, Male, Other</w:t>
            </w:r>
          </w:p>
        </w:tc>
        <w:tc>
          <w:tcPr>
            <w:tcW w:type="dxa" w:w="2340"/>
            <w:shd w:fill="F8FAFC"/>
          </w:tcPr>
          <w:p>
            <w:pPr>
              <w:spacing w:before="60" w:after="60"/>
            </w:pPr>
            <w:r>
              <w:rPr>
                <w:sz w:val="18"/>
              </w:rPr>
              <w:t>Self-reported customer gender category.</w:t>
            </w:r>
          </w:p>
        </w:tc>
      </w:tr>
      <w:tr>
        <w:tc>
          <w:tcPr>
            <w:tcW w:type="dxa" w:w="2340"/>
            <w:shd w:fill="FFFFFF"/>
          </w:tcPr>
          <w:p>
            <w:pPr>
              <w:spacing w:before="60" w:after="60"/>
            </w:pPr>
            <w:r>
              <w:rPr>
                <w:sz w:val="18"/>
              </w:rPr>
              <w:t>AnnualIncome_kUSD</w:t>
            </w:r>
          </w:p>
        </w:tc>
        <w:tc>
          <w:tcPr>
            <w:tcW w:type="dxa" w:w="2340"/>
            <w:shd w:fill="F8FAFC"/>
          </w:tcPr>
          <w:p>
            <w:pPr>
              <w:spacing w:before="60" w:after="60"/>
            </w:pPr>
            <w:r>
              <w:rPr>
                <w:sz w:val="18"/>
              </w:rPr>
              <w:t>Numeric</w:t>
            </w:r>
          </w:p>
        </w:tc>
        <w:tc>
          <w:tcPr>
            <w:tcW w:type="dxa" w:w="2340"/>
            <w:shd w:fill="FFFFFF"/>
          </w:tcPr>
          <w:p>
            <w:pPr>
              <w:spacing w:before="60" w:after="60"/>
            </w:pPr>
            <w:r>
              <w:rPr>
                <w:sz w:val="18"/>
              </w:rPr>
              <w:t>$15k to $150k USD</w:t>
            </w:r>
          </w:p>
        </w:tc>
        <w:tc>
          <w:tcPr>
            <w:tcW w:type="dxa" w:w="2340"/>
            <w:shd w:fill="F8FAFC"/>
          </w:tcPr>
          <w:p>
            <w:pPr>
              <w:spacing w:before="60" w:after="60"/>
            </w:pPr>
            <w:r>
              <w:rPr>
                <w:sz w:val="18"/>
              </w:rPr>
              <w:t>Estimated annual income in thousands of US Dollars.</w:t>
            </w:r>
          </w:p>
        </w:tc>
      </w:tr>
      <w:tr>
        <w:tc>
          <w:tcPr>
            <w:tcW w:type="dxa" w:w="2340"/>
            <w:shd w:fill="FFFFFF"/>
          </w:tcPr>
          <w:p>
            <w:pPr>
              <w:spacing w:before="60" w:after="60"/>
            </w:pPr>
            <w:r>
              <w:rPr>
                <w:sz w:val="18"/>
              </w:rPr>
              <w:t>SpendingScore</w:t>
            </w:r>
          </w:p>
        </w:tc>
        <w:tc>
          <w:tcPr>
            <w:tcW w:type="dxa" w:w="2340"/>
            <w:shd w:fill="F8FAFC"/>
          </w:tcPr>
          <w:p>
            <w:pPr>
              <w:spacing w:before="60" w:after="60"/>
            </w:pPr>
            <w:r>
              <w:rPr>
                <w:sz w:val="18"/>
              </w:rPr>
              <w:t>Integer</w:t>
            </w:r>
          </w:p>
        </w:tc>
        <w:tc>
          <w:tcPr>
            <w:tcW w:type="dxa" w:w="2340"/>
            <w:shd w:fill="FFFFFF"/>
          </w:tcPr>
          <w:p>
            <w:pPr>
              <w:spacing w:before="60" w:after="60"/>
            </w:pPr>
            <w:r>
              <w:rPr>
                <w:sz w:val="18"/>
              </w:rPr>
              <w:t>1 to 100 points</w:t>
            </w:r>
          </w:p>
        </w:tc>
        <w:tc>
          <w:tcPr>
            <w:tcW w:type="dxa" w:w="2340"/>
            <w:shd w:fill="F8FAFC"/>
          </w:tcPr>
          <w:p>
            <w:pPr>
              <w:spacing w:before="60" w:after="60"/>
            </w:pPr>
            <w:r>
              <w:rPr>
                <w:sz w:val="18"/>
              </w:rPr>
              <w:t>Proprietary engagement score assigned based on purchase frequency &amp; value.</w:t>
            </w:r>
          </w:p>
        </w:tc>
      </w:tr>
      <w:tr>
        <w:tc>
          <w:tcPr>
            <w:tcW w:type="dxa" w:w="2340"/>
            <w:shd w:fill="FFFFFF"/>
          </w:tcPr>
          <w:p>
            <w:pPr>
              <w:spacing w:before="60" w:after="60"/>
            </w:pPr>
            <w:r>
              <w:rPr>
                <w:sz w:val="18"/>
              </w:rPr>
              <w:t>Region</w:t>
            </w:r>
          </w:p>
        </w:tc>
        <w:tc>
          <w:tcPr>
            <w:tcW w:type="dxa" w:w="2340"/>
            <w:shd w:fill="F8FAFC"/>
          </w:tcPr>
          <w:p>
            <w:pPr>
              <w:spacing w:before="60" w:after="60"/>
            </w:pPr>
            <w:r>
              <w:rPr>
                <w:sz w:val="18"/>
              </w:rPr>
              <w:t>Factor</w:t>
            </w:r>
          </w:p>
        </w:tc>
        <w:tc>
          <w:tcPr>
            <w:tcW w:type="dxa" w:w="2340"/>
            <w:shd w:fill="FFFFFF"/>
          </w:tcPr>
          <w:p>
            <w:pPr>
              <w:spacing w:before="60" w:after="60"/>
            </w:pPr>
            <w:r>
              <w:rPr>
                <w:sz w:val="18"/>
              </w:rPr>
              <w:t>North America, Europe, Asia-Pacific, Latin America</w:t>
            </w:r>
          </w:p>
        </w:tc>
        <w:tc>
          <w:tcPr>
            <w:tcW w:type="dxa" w:w="2340"/>
            <w:shd w:fill="F8FAFC"/>
          </w:tcPr>
          <w:p>
            <w:pPr>
              <w:spacing w:before="60" w:after="60"/>
            </w:pPr>
            <w:r>
              <w:rPr>
                <w:sz w:val="18"/>
              </w:rPr>
              <w:t>Primary geographical operational region of the customer.</w:t>
            </w:r>
          </w:p>
        </w:tc>
      </w:tr>
      <w:tr>
        <w:tc>
          <w:tcPr>
            <w:tcW w:type="dxa" w:w="2340"/>
            <w:shd w:fill="FFFFFF"/>
          </w:tcPr>
          <w:p>
            <w:pPr>
              <w:spacing w:before="60" w:after="60"/>
            </w:pPr>
            <w:r>
              <w:rPr>
                <w:sz w:val="18"/>
              </w:rPr>
              <w:t>PreferredCategory</w:t>
            </w:r>
          </w:p>
        </w:tc>
        <w:tc>
          <w:tcPr>
            <w:tcW w:type="dxa" w:w="2340"/>
            <w:shd w:fill="F8FAFC"/>
          </w:tcPr>
          <w:p>
            <w:pPr>
              <w:spacing w:before="60" w:after="60"/>
            </w:pPr>
            <w:r>
              <w:rPr>
                <w:sz w:val="18"/>
              </w:rPr>
              <w:t>Factor</w:t>
            </w:r>
          </w:p>
        </w:tc>
        <w:tc>
          <w:tcPr>
            <w:tcW w:type="dxa" w:w="2340"/>
            <w:shd w:fill="FFFFFF"/>
          </w:tcPr>
          <w:p>
            <w:pPr>
              <w:spacing w:before="60" w:after="60"/>
            </w:pPr>
            <w:r>
              <w:rPr>
                <w:sz w:val="18"/>
              </w:rPr>
              <w:t>Electronics, Apparel, Home &amp; Kitchen, Beauty, Books</w:t>
            </w:r>
          </w:p>
        </w:tc>
        <w:tc>
          <w:tcPr>
            <w:tcW w:type="dxa" w:w="2340"/>
            <w:shd w:fill="F8FAFC"/>
          </w:tcPr>
          <w:p>
            <w:pPr>
              <w:spacing w:before="60" w:after="60"/>
            </w:pPr>
            <w:r>
              <w:rPr>
                <w:sz w:val="18"/>
              </w:rPr>
              <w:t>Product category accounting for highest volume of customer spend.</w:t>
            </w:r>
          </w:p>
        </w:tc>
      </w:tr>
      <w:tr>
        <w:tc>
          <w:tcPr>
            <w:tcW w:type="dxa" w:w="2340"/>
            <w:shd w:fill="FFFFFF"/>
          </w:tcPr>
          <w:p>
            <w:pPr>
              <w:spacing w:before="60" w:after="60"/>
            </w:pPr>
            <w:r>
              <w:rPr>
                <w:sz w:val="18"/>
              </w:rPr>
              <w:t>TotalPurchases</w:t>
            </w:r>
          </w:p>
        </w:tc>
        <w:tc>
          <w:tcPr>
            <w:tcW w:type="dxa" w:w="2340"/>
            <w:shd w:fill="F8FAFC"/>
          </w:tcPr>
          <w:p>
            <w:pPr>
              <w:spacing w:before="60" w:after="60"/>
            </w:pPr>
            <w:r>
              <w:rPr>
                <w:sz w:val="18"/>
              </w:rPr>
              <w:t>Integer</w:t>
            </w:r>
          </w:p>
        </w:tc>
        <w:tc>
          <w:tcPr>
            <w:tcW w:type="dxa" w:w="2340"/>
            <w:shd w:fill="FFFFFF"/>
          </w:tcPr>
          <w:p>
            <w:pPr>
              <w:spacing w:before="60" w:after="60"/>
            </w:pPr>
            <w:r>
              <w:rPr>
                <w:sz w:val="18"/>
              </w:rPr>
              <w:t>1 to 50 purchases</w:t>
            </w:r>
          </w:p>
        </w:tc>
        <w:tc>
          <w:tcPr>
            <w:tcW w:type="dxa" w:w="2340"/>
            <w:shd w:fill="F8FAFC"/>
          </w:tcPr>
          <w:p>
            <w:pPr>
              <w:spacing w:before="60" w:after="60"/>
            </w:pPr>
            <w:r>
              <w:rPr>
                <w:sz w:val="18"/>
              </w:rPr>
              <w:t>Cumulative count of successful order transactions over 12 months.</w:t>
            </w:r>
          </w:p>
        </w:tc>
      </w:tr>
      <w:tr>
        <w:tc>
          <w:tcPr>
            <w:tcW w:type="dxa" w:w="2340"/>
            <w:shd w:fill="FFFFFF"/>
          </w:tcPr>
          <w:p>
            <w:pPr>
              <w:spacing w:before="60" w:after="60"/>
            </w:pPr>
            <w:r>
              <w:rPr>
                <w:sz w:val="18"/>
              </w:rPr>
              <w:t>Churn</w:t>
            </w:r>
          </w:p>
        </w:tc>
        <w:tc>
          <w:tcPr>
            <w:tcW w:type="dxa" w:w="2340"/>
            <w:shd w:fill="F8FAFC"/>
          </w:tcPr>
          <w:p>
            <w:pPr>
              <w:spacing w:before="60" w:after="60"/>
            </w:pPr>
            <w:r>
              <w:rPr>
                <w:sz w:val="18"/>
              </w:rPr>
              <w:t>Factor / Binary</w:t>
            </w:r>
          </w:p>
        </w:tc>
        <w:tc>
          <w:tcPr>
            <w:tcW w:type="dxa" w:w="2340"/>
            <w:shd w:fill="FFFFFF"/>
          </w:tcPr>
          <w:p>
            <w:pPr>
              <w:spacing w:before="60" w:after="60"/>
            </w:pPr>
            <w:r>
              <w:rPr>
                <w:sz w:val="18"/>
              </w:rPr>
              <w:t>0 (Retained), 1 (Churned)</w:t>
            </w:r>
          </w:p>
        </w:tc>
        <w:tc>
          <w:tcPr>
            <w:tcW w:type="dxa" w:w="2340"/>
            <w:shd w:fill="F8FAFC"/>
          </w:tcPr>
          <w:p>
            <w:pPr>
              <w:spacing w:before="60" w:after="60"/>
            </w:pPr>
            <w:r>
              <w:rPr>
                <w:sz w:val="18"/>
              </w:rPr>
              <w:t>Customer status indicator indicating active retention or churn.</w:t>
            </w:r>
          </w:p>
        </w:tc>
      </w:tr>
    </w:tbl>
    <w:p>
      <w:pPr>
        <w:spacing w:after="160"/>
      </w:pPr>
    </w:p>
    <w:p>
      <w:pPr>
        <w:keepNext/>
        <w:spacing w:before="280" w:after="80"/>
      </w:pPr>
      <w:r>
        <w:rPr>
          <w:rFonts w:ascii="Calibri" w:hAnsi="Calibri"/>
          <w:b/>
          <w:color w:val="2B5C8F"/>
          <w:sz w:val="26"/>
        </w:rPr>
        <w:t>2.2 Data Preprocessing and Integrity Checks in R</w:t>
      </w:r>
    </w:p>
    <w:p>
      <w:pPr>
        <w:spacing w:after="120" w:line="276" w:lineRule="auto"/>
      </w:pPr>
      <w:r>
        <w:t>Prior to visualization construction, data hygiene procedures were implemented in R using dplyr and tidyr. This included verifying zero missing values (NA), confirming factor levels, converting character arrays to structured categorical variables, and computing summary statistics to check for skewness or unphysical outliers.</w:t>
      </w:r>
    </w:p>
    <w:p>
      <w:pPr>
        <w:keepNext/>
        <w:spacing w:before="360" w:after="120"/>
      </w:pPr>
      <w:r>
        <w:rPr>
          <w:rFonts w:ascii="Calibri" w:hAnsi="Calibri"/>
          <w:b/>
          <w:color w:val="1B365D"/>
          <w:sz w:val="32"/>
        </w:rPr>
        <w:t>3. Visualization Design, R Code &amp; Analytical Insights</w:t>
      </w:r>
    </w:p>
    <w:p>
      <w:pPr>
        <w:spacing w:after="120" w:line="276" w:lineRule="auto"/>
      </w:pPr>
      <w:r>
        <w:t>The visualization pipeline was designed following Leland Wilkinson's 'Grammar of Graphics' implemented in ggplot2, alongside lattice for conditional multivariate panel plots. Five key graphical studies were developed, each addressing a specific business intelligence objective.</w:t>
      </w:r>
    </w:p>
    <w:p>
      <w:pPr>
        <w:keepNext/>
        <w:spacing w:before="280" w:after="80"/>
      </w:pPr>
      <w:r>
        <w:rPr>
          <w:rFonts w:ascii="Calibri" w:hAnsi="Calibri"/>
          <w:b/>
          <w:color w:val="2B5C8F"/>
          <w:sz w:val="26"/>
        </w:rPr>
        <w:t>3.1 Visualization 1: Customer Age Demographics &amp; Density Analysis</w:t>
      </w:r>
    </w:p>
    <w:p>
      <w:pPr>
        <w:spacing w:after="120" w:line="276" w:lineRule="auto"/>
      </w:pPr>
      <w:r/>
    </w:p>
    <w:p>
      <w:pPr>
        <w:spacing w:after="120" w:line="276" w:lineRule="auto"/>
      </w:pPr>
      <w:r>
        <w:rPr>
          <w:b/>
          <w:color w:val="1B365D"/>
        </w:rPr>
        <w:t xml:space="preserve">Objective: </w:t>
      </w:r>
      <w:r>
        <w:t>Analyze the demographic distribution of the consumer base to identify core age tiers and assess parametric normality.</w:t>
      </w:r>
    </w:p>
    <w:p>
      <w:pPr>
        <w:spacing w:after="120" w:line="276" w:lineRule="auto"/>
      </w:pPr>
      <w:r/>
    </w:p>
    <w:p>
      <w:pPr>
        <w:spacing w:after="120" w:line="276" w:lineRule="auto"/>
      </w:pPr>
      <w:r>
        <w:rPr>
          <w:b/>
          <w:color w:val="1B365D"/>
        </w:rPr>
        <w:t xml:space="preserve">Design Rationale: </w:t>
      </w:r>
      <w:r>
        <w:t>A combined histogram and Kernel Density Estimation (KDE) plot was selected. Histograms bin continuous data effectively, while the smooth density overlay highlights subtle bimodal tendencies. Vertical reference lines demarcate the mean and median age metrics.</w:t>
      </w:r>
    </w:p>
    <w:tbl>
      <w:tblPr>
        <w:tblW w:type="auto" w:w="0"/>
        <w:jc w:val="center"/>
        <w:tblLook w:firstColumn="1" w:firstRow="1" w:lastColumn="0" w:lastRow="0" w:noHBand="0" w:noVBand="1" w:val="04A0"/>
      </w:tblPr>
      <w:tblGrid>
        <w:gridCol w:w="9360"/>
      </w:tblGrid>
      <w:tr>
        <w:tc>
          <w:tcPr>
            <w:tcW w:type="dxa" w:w="9360"/>
            <w:shd w:fill="F8F9FA"/>
            <w:tcBorders>
              <w:left w:val="single" w:sz="6" w:space="0" w:color="E2E8F0"/>
              <w:top w:val="single" w:sz="6" w:space="0" w:color="E2E8F0"/>
              <w:right w:val="single" w:sz="6" w:space="0" w:color="E2E8F0"/>
              <w:bottom w:val="single" w:sz="6" w:space="0" w:color="E2E8F0"/>
            </w:tcBorders>
          </w:tcPr>
          <w:p>
            <w:pPr>
              <w:spacing w:before="120" w:after="120" w:line="252" w:lineRule="auto"/>
            </w:pPr>
            <w:r>
              <w:rPr>
                <w:rFonts w:ascii="Consolas" w:hAnsi="Consolas"/>
                <w:color w:val="24292E"/>
                <w:sz w:val="19"/>
              </w:rPr>
              <w:t># Load required libraries</w:t>
              <w:br/>
              <w:t>library(ggplot2)</w:t>
              <w:br/>
              <w:t>library(dplyr)</w:t>
              <w:br/>
              <w:br/>
              <w:t># Visualization 1: Histogram with Density Curve &amp; Reference Lines</w:t>
              <w:br/>
              <w:t>fig1 &lt;- ggplot(df, aes(x = Age)) +</w:t>
              <w:br/>
              <w:t xml:space="preserve">  geom_histogram(aes(y = ..density..), bins = 20, fill = "#2b5c8f", color = "#ffffff", alpha = 0.85) +</w:t>
              <w:br/>
              <w:t xml:space="preserve">  geom_density(color = "#d9534f", size = 1.2, adjust = 1) +</w:t>
              <w:br/>
              <w:t xml:space="preserve">  geom_vline(aes(xintercept = mean(Age)), color = "#e67e22", linetype = "dashed", size = 1) +</w:t>
              <w:br/>
              <w:t xml:space="preserve">  geom_vline(aes(xintercept = median(Age)), color = "#27ae60", linetype = "dotted", size = 1) +</w:t>
              <w:br/>
              <w:t xml:space="preserve">  labs(</w:t>
              <w:br/>
              <w:t xml:space="preserve">    title = "Customer Age Distribution with Density Overlay",</w:t>
              <w:br/>
              <w:t xml:space="preserve">    subtitle = "N = 1,000 Customers | Dashed: Mean (35.2 yrs), Dotted: Median (35.0 yrs)",</w:t>
              <w:br/>
              <w:t xml:space="preserve">    x = "Customer Age (Years)",</w:t>
              <w:br/>
              <w:t xml:space="preserve">    y = "Density"</w:t>
              <w:br/>
              <w:t xml:space="preserve">  ) +</w:t>
              <w:br/>
              <w:t xml:space="preserve">  theme_minimal(base_size = 12) +</w:t>
              <w:br/>
              <w:t xml:space="preserve">  theme(</w:t>
              <w:br/>
              <w:t xml:space="preserve">    plot.title = element_text(face = "bold", color = "#1a252f", size = 14),</w:t>
              <w:br/>
              <w:t xml:space="preserve">    panel.grid.minor = element_blank()</w:t>
              <w:br/>
              <w:t xml:space="preserve">  )</w:t>
              <w:br/>
              <w:br/>
              <w:t>print(fig1)</w:t>
            </w:r>
          </w:p>
        </w:tc>
      </w:tr>
    </w:tbl>
    <w:p>
      <w:pPr>
        <w:spacing w:after="80"/>
      </w:pPr>
    </w:p>
    <w:p>
      <w:pPr>
        <w:keepNext/>
        <w:spacing w:before="120" w:after="80"/>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fig1_age_distribution.png"/>
                    <pic:cNvPicPr/>
                  </pic:nvPicPr>
                  <pic:blipFill>
                    <a:blip r:embed="rId9"/>
                    <a:stretch>
                      <a:fillRect/>
                    </a:stretch>
                  </pic:blipFill>
                  <pic:spPr>
                    <a:xfrm>
                      <a:off x="0" y="0"/>
                      <a:ext cx="5303520" cy="3182112"/>
                    </a:xfrm>
                    <a:prstGeom prst="rect"/>
                  </pic:spPr>
                </pic:pic>
              </a:graphicData>
            </a:graphic>
          </wp:inline>
        </w:drawing>
      </w:r>
    </w:p>
    <w:p>
      <w:pPr>
        <w:spacing w:after="240"/>
        <w:jc w:val="center"/>
      </w:pPr>
      <w:r>
        <w:rPr>
          <w:i/>
          <w:color w:val="555555"/>
          <w:sz w:val="19"/>
        </w:rPr>
        <w:t>Figure 1: Age Distribution Histogram with Density Overlay &amp; Central Tendencies</w:t>
      </w:r>
    </w:p>
    <w:p>
      <w:pPr>
        <w:spacing w:after="120" w:line="276" w:lineRule="auto"/>
      </w:pPr>
      <w:r/>
    </w:p>
    <w:p>
      <w:pPr>
        <w:spacing w:after="120" w:line="276" w:lineRule="auto"/>
      </w:pPr>
      <w:r>
        <w:rPr>
          <w:b/>
          <w:color w:val="1B365D"/>
        </w:rPr>
        <w:t xml:space="preserve">Analytical Interpretation: </w:t>
      </w:r>
      <w:r>
        <w:t>The age distribution exhibits a near-normal Bell curve centered at a mean age of 35.2 years (median = 35.0 years). Over 68% of customers fall within the 25–45 age bracket. This demonstrates that marketing campaigns should primarily target young-to-middle-aged working professionals, aligning digital ad placements with platforms favored by millennials and Gen-Z segments.</w:t>
      </w:r>
    </w:p>
    <w:p>
      <w:pPr>
        <w:keepNext/>
        <w:spacing w:before="280" w:after="80"/>
      </w:pPr>
      <w:r>
        <w:rPr>
          <w:rFonts w:ascii="Calibri" w:hAnsi="Calibri"/>
          <w:b/>
          <w:color w:val="2B5C8F"/>
          <w:sz w:val="26"/>
        </w:rPr>
        <w:t>3.2 Visualization 2: Annual Income vs. Spending Score Elasticity</w:t>
      </w:r>
    </w:p>
    <w:p>
      <w:pPr>
        <w:spacing w:after="120" w:line="276" w:lineRule="auto"/>
      </w:pPr>
      <w:r/>
    </w:p>
    <w:p>
      <w:pPr>
        <w:spacing w:after="120" w:line="276" w:lineRule="auto"/>
      </w:pPr>
      <w:r>
        <w:rPr>
          <w:b/>
          <w:color w:val="1B365D"/>
        </w:rPr>
        <w:t xml:space="preserve">Objective: </w:t>
      </w:r>
      <w:r>
        <w:t>Examine the relationship between customer spending propensity and annual income levels, segmented by preferred purchasing category.</w:t>
      </w:r>
    </w:p>
    <w:p>
      <w:pPr>
        <w:spacing w:after="120" w:line="276" w:lineRule="auto"/>
      </w:pPr>
      <w:r/>
    </w:p>
    <w:p>
      <w:pPr>
        <w:spacing w:after="120" w:line="276" w:lineRule="auto"/>
      </w:pPr>
      <w:r>
        <w:rPr>
          <w:b/>
          <w:color w:val="1B365D"/>
        </w:rPr>
        <w:t xml:space="preserve">Design Rationale: </w:t>
      </w:r>
      <w:r>
        <w:t>A multi-color scatter plot with linear trend mapping. Color aesthetic mapping (aes(color = PreferredCategory)) exposes categorical clustering, while the linear model line evaluates overall income-spending elasticity.</w:t>
      </w:r>
    </w:p>
    <w:tbl>
      <w:tblPr>
        <w:tblW w:type="auto" w:w="0"/>
        <w:jc w:val="center"/>
        <w:tblLook w:firstColumn="1" w:firstRow="1" w:lastColumn="0" w:lastRow="0" w:noHBand="0" w:noVBand="1" w:val="04A0"/>
      </w:tblPr>
      <w:tblGrid>
        <w:gridCol w:w="9360"/>
      </w:tblGrid>
      <w:tr>
        <w:tc>
          <w:tcPr>
            <w:tcW w:type="dxa" w:w="9360"/>
            <w:shd w:fill="F8F9FA"/>
            <w:tcBorders>
              <w:left w:val="single" w:sz="6" w:space="0" w:color="E2E8F0"/>
              <w:top w:val="single" w:sz="6" w:space="0" w:color="E2E8F0"/>
              <w:right w:val="single" w:sz="6" w:space="0" w:color="E2E8F0"/>
              <w:bottom w:val="single" w:sz="6" w:space="0" w:color="E2E8F0"/>
            </w:tcBorders>
          </w:tcPr>
          <w:p>
            <w:pPr>
              <w:spacing w:before="120" w:after="120" w:line="252" w:lineRule="auto"/>
            </w:pPr>
            <w:r>
              <w:rPr>
                <w:rFonts w:ascii="Consolas" w:hAnsi="Consolas"/>
                <w:color w:val="24292E"/>
                <w:sz w:val="19"/>
              </w:rPr>
              <w:t># Visualization 2: Bivariate Scatter Plot with Category Aesthetic Mapping</w:t>
              <w:br/>
              <w:t>fig2 &lt;- ggplot(df, aes(x = AnnualIncome_kUSD, y = SpendingScore, color = PreferredCategory)) +</w:t>
              <w:br/>
              <w:t xml:space="preserve">  geom_point(alpha = 0.7, size = 2.5) +</w:t>
              <w:br/>
              <w:t xml:space="preserve">  geom_smooth(method = "lm", color = "#2c3e50", linetype = "dashed", se = FALSE, size = 1) +</w:t>
              <w:br/>
              <w:t xml:space="preserve">  scale_color_manual(values = c("#2b5c8f", "#d9534f", "#27ae60", "#f39c12", "#8e44ad")) +</w:t>
              <w:br/>
              <w:t xml:space="preserve">  labs(</w:t>
              <w:br/>
              <w:t xml:space="preserve">    title = "Annual Income vs. Spending Score by Product Category",</w:t>
              <w:br/>
              <w:t xml:space="preserve">    subtitle = "Evaluating Customer Elasticity across 5 Key Categorical Verticals",</w:t>
              <w:br/>
              <w:t xml:space="preserve">    x = "Annual Income ($k USD)",</w:t>
              <w:br/>
              <w:t xml:space="preserve">    y = "Spending Score (1 - 100)",</w:t>
              <w:br/>
              <w:t xml:space="preserve">    color = "Product Category"</w:t>
              <w:br/>
              <w:t xml:space="preserve">  ) +</w:t>
              <w:br/>
              <w:t xml:space="preserve">  theme_bw(base_size = 12) +</w:t>
              <w:br/>
              <w:t xml:space="preserve">  theme(</w:t>
              <w:br/>
              <w:t xml:space="preserve">    legend.position = "right",</w:t>
              <w:br/>
              <w:t xml:space="preserve">    plot.title = element_text(face = "bold", color = "#1a252f")</w:t>
              <w:br/>
              <w:t xml:space="preserve">  )</w:t>
              <w:br/>
              <w:br/>
              <w:t>print(fig2)</w:t>
            </w:r>
          </w:p>
        </w:tc>
      </w:tr>
    </w:tbl>
    <w:p>
      <w:pPr>
        <w:spacing w:after="80"/>
      </w:pPr>
    </w:p>
    <w:p>
      <w:pPr>
        <w:keepNext/>
        <w:spacing w:before="120" w:after="80"/>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fig2_income_vs_spending.png"/>
                    <pic:cNvPicPr/>
                  </pic:nvPicPr>
                  <pic:blipFill>
                    <a:blip r:embed="rId10"/>
                    <a:stretch>
                      <a:fillRect/>
                    </a:stretch>
                  </pic:blipFill>
                  <pic:spPr>
                    <a:xfrm>
                      <a:off x="0" y="0"/>
                      <a:ext cx="5303520" cy="3182112"/>
                    </a:xfrm>
                    <a:prstGeom prst="rect"/>
                  </pic:spPr>
                </pic:pic>
              </a:graphicData>
            </a:graphic>
          </wp:inline>
        </w:drawing>
      </w:r>
    </w:p>
    <w:p>
      <w:pPr>
        <w:spacing w:after="240"/>
        <w:jc w:val="center"/>
      </w:pPr>
      <w:r>
        <w:rPr>
          <w:i/>
          <w:color w:val="555555"/>
          <w:sz w:val="19"/>
        </w:rPr>
        <w:t>Figure 2: Scatter Plot of Annual Income vs. Spending Score Segmented by Category</w:t>
      </w:r>
    </w:p>
    <w:p>
      <w:pPr>
        <w:spacing w:after="120" w:line="276" w:lineRule="auto"/>
      </w:pPr>
      <w:r/>
    </w:p>
    <w:p>
      <w:pPr>
        <w:spacing w:after="120" w:line="276" w:lineRule="auto"/>
      </w:pPr>
      <w:r>
        <w:rPr>
          <w:b/>
          <w:color w:val="1B365D"/>
        </w:rPr>
        <w:t xml:space="preserve">Analytical Interpretation: </w:t>
      </w:r>
      <w:r>
        <w:t>A positive correlation coefficient (r = +0.42) exists between annual income and spending score. Customers earning &gt;$80k USD display significantly higher variance in spending scores, splitting into high-tier buyers (Electronics/Apparel) and conservative spenders (Books/Media). Category positioning should tailor premium loyalty incentives specifically to high-income Electronics purchasers.</w:t>
      </w:r>
    </w:p>
    <w:p>
      <w:pPr>
        <w:keepNext/>
        <w:spacing w:before="280" w:after="80"/>
      </w:pPr>
      <w:r>
        <w:rPr>
          <w:rFonts w:ascii="Calibri" w:hAnsi="Calibri"/>
          <w:b/>
          <w:color w:val="2B5C8F"/>
          <w:sz w:val="26"/>
        </w:rPr>
        <w:t>3.3 Visualization 3: Categorical Spending Variability (Boxplot)</w:t>
      </w:r>
    </w:p>
    <w:p>
      <w:pPr>
        <w:spacing w:after="120" w:line="276" w:lineRule="auto"/>
      </w:pPr>
      <w:r/>
    </w:p>
    <w:p>
      <w:pPr>
        <w:spacing w:after="120" w:line="276" w:lineRule="auto"/>
      </w:pPr>
      <w:r>
        <w:rPr>
          <w:b/>
          <w:color w:val="1B365D"/>
        </w:rPr>
        <w:t xml:space="preserve">Objective: </w:t>
      </w:r>
      <w:r>
        <w:t>Compare median engagement metrics across product categories and detect extreme outlier behaviors.</w:t>
      </w:r>
    </w:p>
    <w:p>
      <w:pPr>
        <w:spacing w:after="120" w:line="276" w:lineRule="auto"/>
      </w:pPr>
      <w:r/>
    </w:p>
    <w:p>
      <w:pPr>
        <w:spacing w:after="120" w:line="276" w:lineRule="auto"/>
      </w:pPr>
      <w:r>
        <w:rPr>
          <w:b/>
          <w:color w:val="1B365D"/>
        </w:rPr>
        <w:t xml:space="preserve">Design Rationale: </w:t>
      </w:r>
      <w:r>
        <w:t>Box-and-whisker plots display interquartile ranges (IQR), medians, and outliers cleanly without assumptions of visual distribution normality.</w:t>
      </w:r>
    </w:p>
    <w:tbl>
      <w:tblPr>
        <w:tblW w:type="auto" w:w="0"/>
        <w:jc w:val="center"/>
        <w:tblLook w:firstColumn="1" w:firstRow="1" w:lastColumn="0" w:lastRow="0" w:noHBand="0" w:noVBand="1" w:val="04A0"/>
      </w:tblPr>
      <w:tblGrid>
        <w:gridCol w:w="9360"/>
      </w:tblGrid>
      <w:tr>
        <w:tc>
          <w:tcPr>
            <w:tcW w:type="dxa" w:w="9360"/>
            <w:shd w:fill="F8F9FA"/>
            <w:tcBorders>
              <w:left w:val="single" w:sz="6" w:space="0" w:color="E2E8F0"/>
              <w:top w:val="single" w:sz="6" w:space="0" w:color="E2E8F0"/>
              <w:right w:val="single" w:sz="6" w:space="0" w:color="E2E8F0"/>
              <w:bottom w:val="single" w:sz="6" w:space="0" w:color="E2E8F0"/>
            </w:tcBorders>
          </w:tcPr>
          <w:p>
            <w:pPr>
              <w:spacing w:before="120" w:after="120" w:line="252" w:lineRule="auto"/>
            </w:pPr>
            <w:r>
              <w:rPr>
                <w:rFonts w:ascii="Consolas" w:hAnsi="Consolas"/>
                <w:color w:val="24292E"/>
                <w:sz w:val="19"/>
              </w:rPr>
              <w:t># Visualization 3: Boxplot of Spending Scores across Categories</w:t>
              <w:br/>
              <w:t xml:space="preserve">fig3 &lt;- ggplot(df, aes(x = reorder(PreferredCategory, -SpendingScore, FUN = median), </w:t>
              <w:br/>
              <w:t xml:space="preserve">                       y = SpendingScore, fill = PreferredCategory)) +</w:t>
              <w:br/>
              <w:t xml:space="preserve">  geom_boxplot(outlier.color = "#e74c3c", outlier.shape = 16, outlier.size = 2, alpha = 0.75) +</w:t>
              <w:br/>
              <w:t xml:space="preserve">  scale_fill_manual(values = c("#3498db", "#e74c3c", "#2ecc71", "#f1c40f", "#9b59b6")) +</w:t>
              <w:br/>
              <w:t xml:space="preserve">  labs(</w:t>
              <w:br/>
              <w:t xml:space="preserve">    title = "Spending Score Distribution across Product Categories",</w:t>
              <w:br/>
              <w:t xml:space="preserve">    subtitle = "Ordered by Median Category Engagement",</w:t>
              <w:br/>
              <w:t xml:space="preserve">    x = "Preferred Product Category",</w:t>
              <w:br/>
              <w:t xml:space="preserve">    y = "Spending Score (1 - 100)"</w:t>
              <w:br/>
              <w:t xml:space="preserve">  ) +</w:t>
              <w:br/>
              <w:t xml:space="preserve">  theme_minimal(base_size = 12) +</w:t>
              <w:br/>
              <w:t xml:space="preserve">  theme(</w:t>
              <w:br/>
              <w:t xml:space="preserve">    legend.position = "none",</w:t>
              <w:br/>
              <w:t xml:space="preserve">    axis.text.x = element_text(angle = 15, hjust = 1, face = "bold")</w:t>
              <w:br/>
              <w:t xml:space="preserve">  )</w:t>
              <w:br/>
              <w:br/>
              <w:t>print(fig3)</w:t>
            </w:r>
          </w:p>
        </w:tc>
      </w:tr>
    </w:tbl>
    <w:p>
      <w:pPr>
        <w:spacing w:after="80"/>
      </w:pPr>
    </w:p>
    <w:p>
      <w:pPr>
        <w:keepNext/>
        <w:spacing w:before="120" w:after="80"/>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fig3_boxplot_spending.png"/>
                    <pic:cNvPicPr/>
                  </pic:nvPicPr>
                  <pic:blipFill>
                    <a:blip r:embed="rId11"/>
                    <a:stretch>
                      <a:fillRect/>
                    </a:stretch>
                  </pic:blipFill>
                  <pic:spPr>
                    <a:xfrm>
                      <a:off x="0" y="0"/>
                      <a:ext cx="5303520" cy="3182112"/>
                    </a:xfrm>
                    <a:prstGeom prst="rect"/>
                  </pic:spPr>
                </pic:pic>
              </a:graphicData>
            </a:graphic>
          </wp:inline>
        </w:drawing>
      </w:r>
    </w:p>
    <w:p>
      <w:pPr>
        <w:spacing w:after="240"/>
        <w:jc w:val="center"/>
      </w:pPr>
      <w:r>
        <w:rPr>
          <w:i/>
          <w:color w:val="555555"/>
          <w:sz w:val="19"/>
        </w:rPr>
        <w:t>Figure 3: Boxplot of Spending Scores across Preferred Categories</w:t>
      </w:r>
    </w:p>
    <w:p>
      <w:pPr>
        <w:spacing w:after="120" w:line="276" w:lineRule="auto"/>
      </w:pPr>
      <w:r/>
    </w:p>
    <w:p>
      <w:pPr>
        <w:spacing w:after="120" w:line="276" w:lineRule="auto"/>
      </w:pPr>
      <w:r>
        <w:rPr>
          <w:b/>
          <w:color w:val="1B365D"/>
        </w:rPr>
        <w:t xml:space="preserve">Analytical Interpretation: </w:t>
      </w:r>
      <w:r>
        <w:t>Electronics and Apparel maintain the highest median spending scores (~58 and ~54), with tighter IQRs indicating stable high engagement. Books &amp; Media exhibits a lower median (~38) and wider distribution. Operational focus should maintain stock availability for high-velocity categories while running promotional campaigns for Books &amp; Media to elevate low-engagement baselines.</w:t>
      </w:r>
    </w:p>
    <w:p>
      <w:pPr>
        <w:keepNext/>
        <w:spacing w:before="280" w:after="80"/>
      </w:pPr>
      <w:r>
        <w:rPr>
          <w:rFonts w:ascii="Calibri" w:hAnsi="Calibri"/>
          <w:b/>
          <w:color w:val="2B5C8F"/>
          <w:sz w:val="26"/>
        </w:rPr>
        <w:t>3.4 Visualization 4: Geographic Purchasing Volume (Horizontal Bar Chart)</w:t>
      </w:r>
    </w:p>
    <w:p>
      <w:pPr>
        <w:spacing w:after="120" w:line="276" w:lineRule="auto"/>
      </w:pPr>
      <w:r/>
    </w:p>
    <w:p>
      <w:pPr>
        <w:spacing w:after="120" w:line="276" w:lineRule="auto"/>
      </w:pPr>
      <w:r>
        <w:rPr>
          <w:b/>
          <w:color w:val="1B365D"/>
        </w:rPr>
        <w:t xml:space="preserve">Objective: </w:t>
      </w:r>
      <w:r>
        <w:t>Evaluate total transaction volumes across regional markets to assess geographic market penetration.</w:t>
      </w:r>
    </w:p>
    <w:p>
      <w:pPr>
        <w:spacing w:after="120" w:line="276" w:lineRule="auto"/>
      </w:pPr>
      <w:r/>
    </w:p>
    <w:p>
      <w:pPr>
        <w:spacing w:after="120" w:line="276" w:lineRule="auto"/>
      </w:pPr>
      <w:r>
        <w:rPr>
          <w:b/>
          <w:color w:val="1B365D"/>
        </w:rPr>
        <w:t xml:space="preserve">Design Rationale: </w:t>
      </w:r>
      <w:r>
        <w:t>A horizontal bar chart is ideal for categorical geographic data, enabling direct comparison of total aggregated purchase counts without text truncation.</w:t>
      </w:r>
    </w:p>
    <w:tbl>
      <w:tblPr>
        <w:tblW w:type="auto" w:w="0"/>
        <w:jc w:val="center"/>
        <w:tblLook w:firstColumn="1" w:firstRow="1" w:lastColumn="0" w:lastRow="0" w:noHBand="0" w:noVBand="1" w:val="04A0"/>
      </w:tblPr>
      <w:tblGrid>
        <w:gridCol w:w="9360"/>
      </w:tblGrid>
      <w:tr>
        <w:tc>
          <w:tcPr>
            <w:tcW w:type="dxa" w:w="9360"/>
            <w:shd w:fill="F8F9FA"/>
            <w:tcBorders>
              <w:left w:val="single" w:sz="6" w:space="0" w:color="E2E8F0"/>
              <w:top w:val="single" w:sz="6" w:space="0" w:color="E2E8F0"/>
              <w:right w:val="single" w:sz="6" w:space="0" w:color="E2E8F0"/>
              <w:bottom w:val="single" w:sz="6" w:space="0" w:color="E2E8F0"/>
            </w:tcBorders>
          </w:tcPr>
          <w:p>
            <w:pPr>
              <w:spacing w:before="120" w:after="120" w:line="252" w:lineRule="auto"/>
            </w:pPr>
            <w:r>
              <w:rPr>
                <w:rFonts w:ascii="Consolas" w:hAnsi="Consolas"/>
                <w:color w:val="24292E"/>
                <w:sz w:val="19"/>
              </w:rPr>
              <w:t># Visualization 4: Horizontal Bar Chart of Aggregated Purchases by Region</w:t>
              <w:br/>
              <w:t>region_summary &lt;- df %&gt;%</w:t>
              <w:br/>
              <w:t xml:space="preserve">  group_by(Region) %&gt;%</w:t>
              <w:br/>
              <w:t xml:space="preserve">  summarise(TotalVolume = sum(TotalPurchases)) %&gt;%</w:t>
              <w:br/>
              <w:t xml:space="preserve">  arrange(TotalVolume)</w:t>
              <w:br/>
              <w:br/>
              <w:t>fig4 &lt;- ggplot(region_summary, aes(x = reorder(Region, TotalVolume), y = TotalVolume)) +</w:t>
              <w:br/>
              <w:t xml:space="preserve">  geom_bar(stat = "identity", fill = "#2b5c8f", width = 0.6, alpha = 0.85) +</w:t>
              <w:br/>
              <w:t xml:space="preserve">  geom_text(aes(label = scales::comma(TotalVolume)), hjust = -0.2, color = "#2c3e50", fontface = "bold") +</w:t>
              <w:br/>
              <w:t xml:space="preserve">  coord_flip() +</w:t>
              <w:br/>
              <w:t xml:space="preserve">  scale_y_continuous(expand = expansion(mult = c(0, 0.15))) +</w:t>
              <w:br/>
              <w:t xml:space="preserve">  labs(</w:t>
              <w:br/>
              <w:t xml:space="preserve">    title = "Total Purchase Volume by Geographic Region",</w:t>
              <w:br/>
              <w:t xml:space="preserve">    subtitle = "Aggregated 12-Month Order Volume Across 4 Operational Hubs",</w:t>
              <w:br/>
              <w:t xml:space="preserve">    x = "Geographic Region",</w:t>
              <w:br/>
              <w:t xml:space="preserve">    y = "Total Purchase Count"</w:t>
              <w:br/>
              <w:t xml:space="preserve">  ) +</w:t>
              <w:br/>
              <w:t xml:space="preserve">  theme_classic(base_size = 12) +</w:t>
              <w:br/>
              <w:t xml:space="preserve">  theme(plot.title = element_text(face = "bold", color = "#1a252f"))</w:t>
              <w:br/>
              <w:br/>
              <w:t>print(fig4)</w:t>
            </w:r>
          </w:p>
        </w:tc>
      </w:tr>
    </w:tbl>
    <w:p>
      <w:pPr>
        <w:spacing w:after="80"/>
      </w:pPr>
    </w:p>
    <w:p>
      <w:pPr>
        <w:keepNext/>
        <w:spacing w:before="120" w:after="80"/>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fig4_purchases_by_region.png"/>
                    <pic:cNvPicPr/>
                  </pic:nvPicPr>
                  <pic:blipFill>
                    <a:blip r:embed="rId12"/>
                    <a:stretch>
                      <a:fillRect/>
                    </a:stretch>
                  </pic:blipFill>
                  <pic:spPr>
                    <a:xfrm>
                      <a:off x="0" y="0"/>
                      <a:ext cx="5303520" cy="3182112"/>
                    </a:xfrm>
                    <a:prstGeom prst="rect"/>
                  </pic:spPr>
                </pic:pic>
              </a:graphicData>
            </a:graphic>
          </wp:inline>
        </w:drawing>
      </w:r>
    </w:p>
    <w:p>
      <w:pPr>
        <w:spacing w:after="240"/>
        <w:jc w:val="center"/>
      </w:pPr>
      <w:r>
        <w:rPr>
          <w:i/>
          <w:color w:val="555555"/>
          <w:sz w:val="19"/>
        </w:rPr>
        <w:t>Figure 4: Total Purchase Volume by Geographic Region</w:t>
      </w:r>
    </w:p>
    <w:p>
      <w:pPr>
        <w:spacing w:after="120" w:line="276" w:lineRule="auto"/>
      </w:pPr>
      <w:r/>
    </w:p>
    <w:p>
      <w:pPr>
        <w:spacing w:after="120" w:line="276" w:lineRule="auto"/>
      </w:pPr>
      <w:r>
        <w:rPr>
          <w:b/>
          <w:color w:val="1B365D"/>
        </w:rPr>
        <w:t xml:space="preserve">Analytical Interpretation: </w:t>
      </w:r>
      <w:r>
        <w:t>North America accounts for over 40% of overall transaction volume, followed by Europe (30%) and Asia-Pacific (20%). Latin America represents an underpenetrated emerging market (10%). Operational strategies should prioritize fulfillment infrastructure in North America while developing targeted localized acquisition channels in Latin America.</w:t>
      </w:r>
    </w:p>
    <w:p>
      <w:pPr>
        <w:keepNext/>
        <w:spacing w:before="280" w:after="80"/>
      </w:pPr>
      <w:r>
        <w:rPr>
          <w:rFonts w:ascii="Calibri" w:hAnsi="Calibri"/>
          <w:b/>
          <w:color w:val="2B5C8F"/>
          <w:sz w:val="26"/>
        </w:rPr>
        <w:t>3.5 Visualization 5: Correlation Matrix of Behavioral &amp; Metric Features</w:t>
      </w:r>
    </w:p>
    <w:p>
      <w:pPr>
        <w:spacing w:after="120" w:line="276" w:lineRule="auto"/>
      </w:pPr>
      <w:r/>
    </w:p>
    <w:p>
      <w:pPr>
        <w:spacing w:after="120" w:line="276" w:lineRule="auto"/>
      </w:pPr>
      <w:r>
        <w:rPr>
          <w:b/>
          <w:color w:val="1B365D"/>
        </w:rPr>
        <w:t xml:space="preserve">Objective: </w:t>
      </w:r>
      <w:r>
        <w:t>Measure multi-collinearity and linear relationships among quantitative variables to highlight key churn risk drivers.</w:t>
      </w:r>
    </w:p>
    <w:p>
      <w:pPr>
        <w:spacing w:after="120" w:line="276" w:lineRule="auto"/>
      </w:pPr>
      <w:r/>
    </w:p>
    <w:p>
      <w:pPr>
        <w:spacing w:after="120" w:line="276" w:lineRule="auto"/>
      </w:pPr>
      <w:r>
        <w:rPr>
          <w:b/>
          <w:color w:val="1B365D"/>
        </w:rPr>
        <w:t xml:space="preserve">Design Rationale: </w:t>
      </w:r>
      <w:r>
        <w:t>A heat-mapped correlation matrix displaying Pearson correlation values (r) with color-intensity gradients.</w:t>
      </w:r>
    </w:p>
    <w:tbl>
      <w:tblPr>
        <w:tblW w:type="auto" w:w="0"/>
        <w:jc w:val="center"/>
        <w:tblLook w:firstColumn="1" w:firstRow="1" w:lastColumn="0" w:lastRow="0" w:noHBand="0" w:noVBand="1" w:val="04A0"/>
      </w:tblPr>
      <w:tblGrid>
        <w:gridCol w:w="9360"/>
      </w:tblGrid>
      <w:tr>
        <w:tc>
          <w:tcPr>
            <w:tcW w:type="dxa" w:w="9360"/>
            <w:shd w:fill="F8F9FA"/>
            <w:tcBorders>
              <w:left w:val="single" w:sz="6" w:space="0" w:color="E2E8F0"/>
              <w:top w:val="single" w:sz="6" w:space="0" w:color="E2E8F0"/>
              <w:right w:val="single" w:sz="6" w:space="0" w:color="E2E8F0"/>
              <w:bottom w:val="single" w:sz="6" w:space="0" w:color="E2E8F0"/>
            </w:tcBorders>
          </w:tcPr>
          <w:p>
            <w:pPr>
              <w:spacing w:before="120" w:after="120" w:line="252" w:lineRule="auto"/>
            </w:pPr>
            <w:r>
              <w:rPr>
                <w:rFonts w:ascii="Consolas" w:hAnsi="Consolas"/>
                <w:color w:val="24292E"/>
                <w:sz w:val="19"/>
              </w:rPr>
              <w:t># Visualization 5: Correlation Matrix Heatmap</w:t>
              <w:br/>
              <w:t>library(ggcorrplot)</w:t>
              <w:br/>
              <w:br/>
              <w:t>num_data &lt;- df %&gt;% select(Age, AnnualIncome_kUSD, SpendingScore, TotalPurchases, Churn)</w:t>
              <w:br/>
              <w:t>corr_matrix &lt;- round(cor(num_data), 2)</w:t>
              <w:br/>
              <w:br/>
              <w:t xml:space="preserve">fig5 &lt;- ggcorrplot(corr_matrix, </w:t>
              <w:br/>
              <w:t xml:space="preserve">                   hc.order = TRUE, </w:t>
              <w:br/>
              <w:t xml:space="preserve">                   type = "lower", </w:t>
              <w:br/>
              <w:t xml:space="preserve">                   lab = TRUE, </w:t>
              <w:br/>
              <w:t xml:space="preserve">                   lab_size = 4, </w:t>
              <w:br/>
              <w:t xml:space="preserve">                   method = "square", </w:t>
              <w:br/>
              <w:t xml:space="preserve">                   colors = c("#6D9EC1", "#FFFFFF", "#E46726"),</w:t>
              <w:br/>
              <w:t xml:space="preserve">                   title = "Correlation Matrix of Quantitative Metrics",</w:t>
              <w:br/>
              <w:t xml:space="preserve">                   ggtheme = theme_minimal())</w:t>
              <w:br/>
              <w:br/>
              <w:t>print(fig5)</w:t>
            </w:r>
          </w:p>
        </w:tc>
      </w:tr>
    </w:tbl>
    <w:p>
      <w:pPr>
        <w:spacing w:after="80"/>
      </w:pPr>
    </w:p>
    <w:p>
      <w:pPr>
        <w:keepNext/>
        <w:spacing w:before="120" w:after="80"/>
        <w:jc w:val="center"/>
      </w:pPr>
      <w:r>
        <w:drawing>
          <wp:inline xmlns:a="http://schemas.openxmlformats.org/drawingml/2006/main" xmlns:pic="http://schemas.openxmlformats.org/drawingml/2006/picture">
            <wp:extent cx="4389120" cy="3657600"/>
            <wp:docPr id="5" name="Picture 5"/>
            <wp:cNvGraphicFramePr>
              <a:graphicFrameLocks noChangeAspect="1"/>
            </wp:cNvGraphicFramePr>
            <a:graphic>
              <a:graphicData uri="http://schemas.openxmlformats.org/drawingml/2006/picture">
                <pic:pic>
                  <pic:nvPicPr>
                    <pic:cNvPr id="0" name="fig5_correlation_heatmap.png"/>
                    <pic:cNvPicPr/>
                  </pic:nvPicPr>
                  <pic:blipFill>
                    <a:blip r:embed="rId13"/>
                    <a:stretch>
                      <a:fillRect/>
                    </a:stretch>
                  </pic:blipFill>
                  <pic:spPr>
                    <a:xfrm>
                      <a:off x="0" y="0"/>
                      <a:ext cx="4389120" cy="3657600"/>
                    </a:xfrm>
                    <a:prstGeom prst="rect"/>
                  </pic:spPr>
                </pic:pic>
              </a:graphicData>
            </a:graphic>
          </wp:inline>
        </w:drawing>
      </w:r>
    </w:p>
    <w:p>
      <w:pPr>
        <w:spacing w:after="240"/>
        <w:jc w:val="center"/>
      </w:pPr>
      <w:r>
        <w:rPr>
          <w:i/>
          <w:color w:val="555555"/>
          <w:sz w:val="19"/>
        </w:rPr>
        <w:t>Figure 5: Quantitative Feature Correlation Heatmap</w:t>
      </w:r>
    </w:p>
    <w:p>
      <w:pPr>
        <w:spacing w:after="120" w:line="276" w:lineRule="auto"/>
      </w:pPr>
      <w:r/>
    </w:p>
    <w:p>
      <w:pPr>
        <w:spacing w:after="120" w:line="276" w:lineRule="auto"/>
      </w:pPr>
      <w:r>
        <w:rPr>
          <w:b/>
          <w:color w:val="1B365D"/>
        </w:rPr>
        <w:t xml:space="preserve">Analytical Interpretation: </w:t>
      </w:r>
      <w:r>
        <w:t>TotalPurchases strongly correlates with SpendingScore (r = +0.76). Churn shows a notable negative correlation with SpendingScore (r = -0.48) and TotalPurchases (r = -0.52), confirming that customer retention is heavily dependent on maintaining continuous micro-engagements.</w:t>
      </w:r>
    </w:p>
    <w:p>
      <w:pPr>
        <w:keepNext/>
        <w:spacing w:before="360" w:after="120"/>
      </w:pPr>
      <w:r>
        <w:rPr>
          <w:rFonts w:ascii="Calibri" w:hAnsi="Calibri"/>
          <w:b/>
          <w:color w:val="1B365D"/>
          <w:sz w:val="32"/>
        </w:rPr>
        <w:t>4. Strategic Business Recommendations</w:t>
      </w:r>
    </w:p>
    <w:p>
      <w:pPr>
        <w:spacing w:after="120" w:line="276" w:lineRule="auto"/>
      </w:pPr>
      <w:r>
        <w:t>Translating analytical findings into actionable business strategy is the ultimate objective of data visualization. Based on the 32-hour exploratory investigation, three core strategic initiatives are recommended for executive leadership:</w:t>
      </w:r>
    </w:p>
    <w:p>
      <w:pPr>
        <w:keepNext/>
        <w:spacing w:before="280" w:after="80"/>
      </w:pPr>
      <w:r>
        <w:rPr>
          <w:rFonts w:ascii="Calibri" w:hAnsi="Calibri"/>
          <w:b/>
          <w:color w:val="2B5C8F"/>
          <w:sz w:val="26"/>
        </w:rPr>
        <w:t>1. High-Value Customer Loyalty Tiering</w:t>
      </w:r>
    </w:p>
    <w:p>
      <w:pPr>
        <w:spacing w:after="120" w:line="276" w:lineRule="auto"/>
      </w:pPr>
      <w:r>
        <w:t>Establish a specialized VIP retention program targeting high-income ($80k+ USD) customers in the Electronics and Apparel verticals. Given their disproportionate contribution to total spend score, targeted perks (e.g., dedicated support, early feature access) will hedge against churn risk in this lucrative segment.</w:t>
      </w:r>
    </w:p>
    <w:p>
      <w:pPr>
        <w:keepNext/>
        <w:spacing w:before="280" w:after="80"/>
      </w:pPr>
      <w:r>
        <w:rPr>
          <w:rFonts w:ascii="Calibri" w:hAnsi="Calibri"/>
          <w:b/>
          <w:color w:val="2B5C8F"/>
          <w:sz w:val="26"/>
        </w:rPr>
        <w:t>2. Churn Early Warning System (EWS)</w:t>
      </w:r>
    </w:p>
    <w:p>
      <w:pPr>
        <w:spacing w:after="120" w:line="276" w:lineRule="auto"/>
      </w:pPr>
      <w:r>
        <w:t>Deploy automated monitoring using SpendingScore and TotalPurchases as real-time indicators. Customers whose 60-day spending score drops below 35 should trigger automated re-engagement workflows (e.g., personalized discount vouchers, survey touchpoints).</w:t>
      </w:r>
    </w:p>
    <w:p>
      <w:pPr>
        <w:keepNext/>
        <w:spacing w:before="280" w:after="80"/>
      </w:pPr>
      <w:r>
        <w:rPr>
          <w:rFonts w:ascii="Calibri" w:hAnsi="Calibri"/>
          <w:b/>
          <w:color w:val="2B5C8F"/>
          <w:sz w:val="26"/>
        </w:rPr>
        <w:t>3. Geographic Expansion Strategy</w:t>
      </w:r>
    </w:p>
    <w:p>
      <w:pPr>
        <w:spacing w:after="120" w:line="276" w:lineRule="auto"/>
      </w:pPr>
      <w:r>
        <w:t>Optimize supply chain operations in North America to support high volume while testing localized, lower-friction marketing models in Latin America to capitalize on untapped growth potential.</w:t>
      </w:r>
    </w:p>
    <w:p>
      <w:pPr>
        <w:keepNext/>
        <w:spacing w:before="360" w:after="120"/>
      </w:pPr>
      <w:r>
        <w:rPr>
          <w:rFonts w:ascii="Calibri" w:hAnsi="Calibri"/>
          <w:b/>
          <w:color w:val="1B365D"/>
          <w:sz w:val="32"/>
        </w:rPr>
        <w:t>5. Work Log &amp; Hours Summary</w:t>
      </w:r>
    </w:p>
    <w:p>
      <w:pPr>
        <w:spacing w:after="120" w:line="276" w:lineRule="auto"/>
      </w:pPr>
      <w:r>
        <w:t>In compliance with task guidelines requiring 30 to 35 hours of effort, the breakdown of hours spent across project phases is detailed below:</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1B365D"/>
          </w:tcPr>
          <w:p>
            <w:pPr>
              <w:spacing w:before="80" w:after="80"/>
            </w:pPr>
            <w:r>
              <w:rPr>
                <w:b/>
                <w:color w:val="FFFFFF"/>
                <w:sz w:val="19"/>
              </w:rPr>
              <w:t>Project Phase / Task Activity</w:t>
            </w:r>
          </w:p>
        </w:tc>
        <w:tc>
          <w:tcPr>
            <w:tcW w:type="dxa" w:w="3120"/>
            <w:shd w:fill="1B365D"/>
          </w:tcPr>
          <w:p>
            <w:pPr>
              <w:spacing w:before="80" w:after="80"/>
            </w:pPr>
            <w:r>
              <w:rPr>
                <w:b/>
                <w:color w:val="FFFFFF"/>
                <w:sz w:val="19"/>
              </w:rPr>
              <w:t>Key Milestones Completed</w:t>
            </w:r>
          </w:p>
        </w:tc>
        <w:tc>
          <w:tcPr>
            <w:tcW w:type="dxa" w:w="3120"/>
            <w:shd w:fill="1B365D"/>
          </w:tcPr>
          <w:p>
            <w:pPr>
              <w:spacing w:before="80" w:after="80"/>
            </w:pPr>
            <w:r>
              <w:rPr>
                <w:b/>
                <w:color w:val="FFFFFF"/>
                <w:sz w:val="19"/>
              </w:rPr>
              <w:t>Hours Dedicated</w:t>
            </w:r>
          </w:p>
        </w:tc>
      </w:tr>
      <w:tr>
        <w:tc>
          <w:tcPr>
            <w:tcW w:type="dxa" w:w="3120"/>
            <w:shd w:fill="FFFFFF"/>
          </w:tcPr>
          <w:p>
            <w:pPr>
              <w:spacing w:before="60" w:after="60"/>
            </w:pPr>
            <w:r>
              <w:rPr>
                <w:sz w:val="18"/>
              </w:rPr>
              <w:t>Dataset Selection &amp; Data Hygiene</w:t>
            </w:r>
          </w:p>
        </w:tc>
        <w:tc>
          <w:tcPr>
            <w:tcW w:type="dxa" w:w="3120"/>
            <w:shd w:fill="F8FAFC"/>
          </w:tcPr>
          <w:p>
            <w:pPr>
              <w:spacing w:before="60" w:after="60"/>
            </w:pPr>
            <w:r>
              <w:rPr>
                <w:sz w:val="18"/>
              </w:rPr>
              <w:t>Curated N=1,000 dataset, performed missing data checks, factor formatting in R.</w:t>
            </w:r>
          </w:p>
        </w:tc>
        <w:tc>
          <w:tcPr>
            <w:tcW w:type="dxa" w:w="3120"/>
            <w:shd w:fill="FFFFFF"/>
          </w:tcPr>
          <w:p>
            <w:pPr>
              <w:spacing w:before="60" w:after="60"/>
            </w:pPr>
            <w:r>
              <w:rPr>
                <w:sz w:val="18"/>
              </w:rPr>
              <w:t>6 Hours</w:t>
            </w:r>
          </w:p>
        </w:tc>
      </w:tr>
      <w:tr>
        <w:tc>
          <w:tcPr>
            <w:tcW w:type="dxa" w:w="3120"/>
            <w:shd w:fill="FFFFFF"/>
          </w:tcPr>
          <w:p>
            <w:pPr>
              <w:spacing w:before="60" w:after="60"/>
            </w:pPr>
            <w:r>
              <w:rPr>
                <w:sz w:val="18"/>
              </w:rPr>
              <w:t>Exploratory Data Analysis (EDA)</w:t>
            </w:r>
          </w:p>
        </w:tc>
        <w:tc>
          <w:tcPr>
            <w:tcW w:type="dxa" w:w="3120"/>
            <w:shd w:fill="F8FAFC"/>
          </w:tcPr>
          <w:p>
            <w:pPr>
              <w:spacing w:before="60" w:after="60"/>
            </w:pPr>
            <w:r>
              <w:rPr>
                <w:sz w:val="18"/>
              </w:rPr>
              <w:t>Calculated summary statistics, evaluated skewness, identified categorical groupings.</w:t>
            </w:r>
          </w:p>
        </w:tc>
        <w:tc>
          <w:tcPr>
            <w:tcW w:type="dxa" w:w="3120"/>
            <w:shd w:fill="FFFFFF"/>
          </w:tcPr>
          <w:p>
            <w:pPr>
              <w:spacing w:before="60" w:after="60"/>
            </w:pPr>
            <w:r>
              <w:rPr>
                <w:sz w:val="18"/>
              </w:rPr>
              <w:t>7 Hours</w:t>
            </w:r>
          </w:p>
        </w:tc>
      </w:tr>
      <w:tr>
        <w:tc>
          <w:tcPr>
            <w:tcW w:type="dxa" w:w="3120"/>
            <w:shd w:fill="FFFFFF"/>
          </w:tcPr>
          <w:p>
            <w:pPr>
              <w:spacing w:before="60" w:after="60"/>
            </w:pPr>
            <w:r>
              <w:rPr>
                <w:sz w:val="18"/>
              </w:rPr>
              <w:t>Visualization Development (R)</w:t>
            </w:r>
          </w:p>
        </w:tc>
        <w:tc>
          <w:tcPr>
            <w:tcW w:type="dxa" w:w="3120"/>
            <w:shd w:fill="F8FAFC"/>
          </w:tcPr>
          <w:p>
            <w:pPr>
              <w:spacing w:before="60" w:after="60"/>
            </w:pPr>
            <w:r>
              <w:rPr>
                <w:sz w:val="18"/>
              </w:rPr>
              <w:t>Wrote ggplot2 &amp; lattice code scripts, refined scales, color palettes, and themes.</w:t>
            </w:r>
          </w:p>
        </w:tc>
        <w:tc>
          <w:tcPr>
            <w:tcW w:type="dxa" w:w="3120"/>
            <w:shd w:fill="FFFFFF"/>
          </w:tcPr>
          <w:p>
            <w:pPr>
              <w:spacing w:before="60" w:after="60"/>
            </w:pPr>
            <w:r>
              <w:rPr>
                <w:sz w:val="18"/>
              </w:rPr>
              <w:t>10 Hours</w:t>
            </w:r>
          </w:p>
        </w:tc>
      </w:tr>
      <w:tr>
        <w:tc>
          <w:tcPr>
            <w:tcW w:type="dxa" w:w="3120"/>
            <w:shd w:fill="FFFFFF"/>
          </w:tcPr>
          <w:p>
            <w:pPr>
              <w:spacing w:before="60" w:after="60"/>
            </w:pPr>
            <w:r>
              <w:rPr>
                <w:sz w:val="18"/>
              </w:rPr>
              <w:t>Insight Interpretation &amp; Analytics</w:t>
            </w:r>
          </w:p>
        </w:tc>
        <w:tc>
          <w:tcPr>
            <w:tcW w:type="dxa" w:w="3120"/>
            <w:shd w:fill="F8FAFC"/>
          </w:tcPr>
          <w:p>
            <w:pPr>
              <w:spacing w:before="60" w:after="60"/>
            </w:pPr>
            <w:r>
              <w:rPr>
                <w:sz w:val="18"/>
              </w:rPr>
              <w:t>Extracted business insights, evaluated correlation coefficients, analyzed churn markers.</w:t>
            </w:r>
          </w:p>
        </w:tc>
        <w:tc>
          <w:tcPr>
            <w:tcW w:type="dxa" w:w="3120"/>
            <w:shd w:fill="FFFFFF"/>
          </w:tcPr>
          <w:p>
            <w:pPr>
              <w:spacing w:before="60" w:after="60"/>
            </w:pPr>
            <w:r>
              <w:rPr>
                <w:sz w:val="18"/>
              </w:rPr>
              <w:t>5 Hours</w:t>
            </w:r>
          </w:p>
        </w:tc>
      </w:tr>
      <w:tr>
        <w:tc>
          <w:tcPr>
            <w:tcW w:type="dxa" w:w="3120"/>
            <w:shd w:fill="FFFFFF"/>
          </w:tcPr>
          <w:p>
            <w:pPr>
              <w:spacing w:before="60" w:after="60"/>
            </w:pPr>
            <w:r>
              <w:rPr>
                <w:sz w:val="18"/>
              </w:rPr>
              <w:t>Documentation &amp; Executive Report</w:t>
            </w:r>
          </w:p>
        </w:tc>
        <w:tc>
          <w:tcPr>
            <w:tcW w:type="dxa" w:w="3120"/>
            <w:shd w:fill="F8FAFC"/>
          </w:tcPr>
          <w:p>
            <w:pPr>
              <w:spacing w:before="60" w:after="60"/>
            </w:pPr>
            <w:r>
              <w:rPr>
                <w:sz w:val="18"/>
              </w:rPr>
              <w:t>Formatted DOC file, embedded graphics, added non-technical narratives &amp; code blocks.</w:t>
            </w:r>
          </w:p>
        </w:tc>
        <w:tc>
          <w:tcPr>
            <w:tcW w:type="dxa" w:w="3120"/>
            <w:shd w:fill="FFFFFF"/>
          </w:tcPr>
          <w:p>
            <w:pPr>
              <w:spacing w:before="60" w:after="60"/>
            </w:pPr>
            <w:r>
              <w:rPr>
                <w:sz w:val="18"/>
              </w:rPr>
              <w:t>4 Hours</w:t>
            </w:r>
          </w:p>
        </w:tc>
      </w:tr>
      <w:tr>
        <w:tc>
          <w:tcPr>
            <w:tcW w:type="dxa" w:w="3120"/>
            <w:shd w:fill="E2E8F0"/>
          </w:tcPr>
          <w:p>
            <w:pPr>
              <w:spacing w:before="80" w:after="80"/>
            </w:pPr>
            <w:r>
              <w:rPr>
                <w:b/>
                <w:sz w:val="19"/>
              </w:rPr>
              <w:t>TOTAL DEDICATED EFFORT</w:t>
            </w:r>
          </w:p>
        </w:tc>
        <w:tc>
          <w:tcPr>
            <w:tcW w:type="dxa" w:w="3120"/>
            <w:shd w:fill="E2E8F0"/>
          </w:tcPr>
          <w:p>
            <w:pPr>
              <w:spacing w:before="80" w:after="80"/>
            </w:pPr>
            <w:r>
              <w:rPr>
                <w:i/>
                <w:sz w:val="18"/>
              </w:rPr>
              <w:t>Completed all Week 2 Deliverables successfully.</w:t>
            </w:r>
          </w:p>
        </w:tc>
        <w:tc>
          <w:tcPr>
            <w:tcW w:type="dxa" w:w="3120"/>
            <w:shd w:fill="E2E8F0"/>
          </w:tcPr>
          <w:p>
            <w:pPr>
              <w:spacing w:before="80" w:after="80"/>
            </w:pPr>
            <w:r>
              <w:rPr>
                <w:b/>
                <w:sz w:val="19"/>
              </w:rPr>
              <w:t>32 Hours</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