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C08D" w14:textId="77777777" w:rsidR="003134A5" w:rsidRPr="00E92408" w:rsidRDefault="004C0AE6" w:rsidP="00254145">
      <w:pPr>
        <w:jc w:val="center"/>
        <w:rPr>
          <w:b/>
          <w:sz w:val="28"/>
        </w:rPr>
      </w:pPr>
      <w:proofErr w:type="spellStart"/>
      <w:r>
        <w:rPr>
          <w:b/>
          <w:sz w:val="28"/>
        </w:rPr>
        <w:t>OpenETran</w:t>
      </w:r>
      <w:proofErr w:type="spellEnd"/>
    </w:p>
    <w:p w14:paraId="3E5AE2ED" w14:textId="77777777" w:rsidR="00254145" w:rsidRPr="00E92408" w:rsidRDefault="00254145" w:rsidP="00254145">
      <w:pPr>
        <w:jc w:val="center"/>
        <w:rPr>
          <w:b/>
          <w:sz w:val="28"/>
        </w:rPr>
      </w:pPr>
      <w:r w:rsidRPr="00E92408">
        <w:rPr>
          <w:b/>
          <w:sz w:val="28"/>
        </w:rPr>
        <w:t>An Open-Source Electromagnetic Transient Program</w:t>
      </w:r>
    </w:p>
    <w:p w14:paraId="3FC061C2" w14:textId="77777777" w:rsidR="00254145" w:rsidRPr="00E92408" w:rsidRDefault="00254145" w:rsidP="00254145">
      <w:pPr>
        <w:jc w:val="center"/>
        <w:rPr>
          <w:b/>
          <w:sz w:val="28"/>
        </w:rPr>
      </w:pPr>
    </w:p>
    <w:p w14:paraId="52732A24" w14:textId="77777777" w:rsidR="00254145" w:rsidRPr="00E92408" w:rsidRDefault="00254145" w:rsidP="0034171A">
      <w:pPr>
        <w:ind w:firstLine="708"/>
      </w:pPr>
      <w:r w:rsidRPr="00E92408">
        <w:t xml:space="preserve">During the period from 1990 through 2002, EPRI funded the development of a Lightning Protection Design Workstation (LPDW), which was used by many utilities to assess the lightning performance of distribution lines. Since about 2002, this program has not been available. EPRI decided to release the simulation kernel of LPDW under the name </w:t>
      </w:r>
      <w:proofErr w:type="spellStart"/>
      <w:r w:rsidR="004C0AE6">
        <w:t>OpenETran</w:t>
      </w:r>
      <w:proofErr w:type="spellEnd"/>
      <w:r w:rsidRPr="00E92408">
        <w:t xml:space="preserve">, with an open-source license (GPL v3), so it may be incorporated into IEEE Flash and other projects. </w:t>
      </w:r>
    </w:p>
    <w:p w14:paraId="272478AD" w14:textId="77777777" w:rsidR="00254145" w:rsidRPr="00E92408" w:rsidRDefault="004C0AE6" w:rsidP="00254145">
      <w:pPr>
        <w:ind w:firstLine="708"/>
      </w:pPr>
      <w:proofErr w:type="spellStart"/>
      <w:r>
        <w:t>OpenETran</w:t>
      </w:r>
      <w:proofErr w:type="spellEnd"/>
      <w:r w:rsidR="00254145" w:rsidRPr="00E92408">
        <w:t xml:space="preserve"> can presently simulate multi-conductor power lines, insulators, surge arresters, non-linear grounds, and lightning strokes. It efficiently calculates energy and charge duty on surge arresters, and iterates to find the critical lightning current causing flashover on one or more phases. It is also suitable for use in substation insulation coordination. Capacitor switching, TRV, and other applications may be added. </w:t>
      </w:r>
    </w:p>
    <w:p w14:paraId="3D365745" w14:textId="77777777" w:rsidR="00254145" w:rsidRPr="00E92408" w:rsidRDefault="00254145" w:rsidP="00254145">
      <w:pPr>
        <w:ind w:firstLine="708"/>
      </w:pPr>
      <w:r w:rsidRPr="00E92408">
        <w:t xml:space="preserve">EPRI originally had permission to use code from the Numerical Recipes book in LPDW. These routines have been removed in favor of the GNU Scientific Library (GSL), which also uses the GPL v3 license. As a result, the </w:t>
      </w:r>
      <w:proofErr w:type="spellStart"/>
      <w:r w:rsidR="004C0AE6">
        <w:t>OpenETran</w:t>
      </w:r>
      <w:proofErr w:type="spellEnd"/>
      <w:r w:rsidRPr="00E92408">
        <w:t xml:space="preserve"> package can be freely used and modified, but not commercialized. </w:t>
      </w:r>
    </w:p>
    <w:p w14:paraId="69D2E9B8" w14:textId="272700AC" w:rsidR="00F64670" w:rsidRPr="00E92408" w:rsidRDefault="00F64670" w:rsidP="00F64670">
      <w:pPr>
        <w:ind w:firstLine="708"/>
      </w:pPr>
      <w:r>
        <w:t xml:space="preserve">This document presents tutorials for using </w:t>
      </w:r>
      <w:proofErr w:type="spellStart"/>
      <w:r>
        <w:t>OpenETran’s</w:t>
      </w:r>
      <w:proofErr w:type="spellEnd"/>
      <w:r>
        <w:t xml:space="preserve"> new graphical user interface (GUI), which was funded by members of CEATI’s Grounding and Lightning Interest Group (GLIG)</w:t>
      </w:r>
      <w:r w:rsidRPr="00E92408">
        <w:t xml:space="preserve">. </w:t>
      </w:r>
    </w:p>
    <w:p w14:paraId="7981E1E2" w14:textId="7763D7BB" w:rsidR="00A741A2" w:rsidRPr="00E92408" w:rsidRDefault="00A741A2" w:rsidP="00A741A2">
      <w:pPr>
        <w:autoSpaceDE w:val="0"/>
        <w:autoSpaceDN w:val="0"/>
        <w:adjustRightInd w:val="0"/>
        <w:spacing w:after="0" w:line="240" w:lineRule="auto"/>
        <w:jc w:val="left"/>
        <w:rPr>
          <w:rFonts w:cs="Times New Roman"/>
          <w:color w:val="000000"/>
          <w:sz w:val="24"/>
          <w:szCs w:val="24"/>
        </w:rPr>
      </w:pPr>
    </w:p>
    <w:p w14:paraId="06C390F8" w14:textId="77777777" w:rsidR="00A741A2" w:rsidRPr="00E92408" w:rsidRDefault="00A741A2" w:rsidP="00A741A2">
      <w:pPr>
        <w:pStyle w:val="Heading1"/>
        <w:numPr>
          <w:ilvl w:val="0"/>
          <w:numId w:val="0"/>
        </w:numPr>
        <w:ind w:left="432" w:hanging="432"/>
      </w:pPr>
      <w:bookmarkStart w:id="0" w:name="_Toc490999417"/>
      <w:r w:rsidRPr="00E92408">
        <w:t>Copyright and License</w:t>
      </w:r>
      <w:bookmarkEnd w:id="0"/>
      <w:r w:rsidRPr="00E92408">
        <w:t xml:space="preserve"> </w:t>
      </w:r>
    </w:p>
    <w:p w14:paraId="179D22EF" w14:textId="77777777" w:rsidR="00A741A2" w:rsidRPr="00E92408" w:rsidRDefault="00A741A2" w:rsidP="00A741A2">
      <w:pPr>
        <w:spacing w:after="0"/>
        <w:rPr>
          <w:i/>
        </w:rPr>
      </w:pPr>
      <w:r w:rsidRPr="00E92408">
        <w:rPr>
          <w:i/>
        </w:rPr>
        <w:t xml:space="preserve">Copyright (c) 1992, 1994, 1998, 2002, 2011, 2012, </w:t>
      </w:r>
    </w:p>
    <w:p w14:paraId="0251DE14" w14:textId="77777777" w:rsidR="00A741A2" w:rsidRPr="00E92408" w:rsidRDefault="00A741A2" w:rsidP="00A741A2">
      <w:pPr>
        <w:spacing w:after="0"/>
        <w:rPr>
          <w:i/>
        </w:rPr>
      </w:pPr>
      <w:r w:rsidRPr="00E92408">
        <w:rPr>
          <w:i/>
        </w:rPr>
        <w:t xml:space="preserve">Electric Power Research Institute, Inc. </w:t>
      </w:r>
    </w:p>
    <w:p w14:paraId="19C16209" w14:textId="77777777" w:rsidR="00A741A2" w:rsidRPr="00E92408" w:rsidRDefault="00A741A2" w:rsidP="00A741A2">
      <w:pPr>
        <w:spacing w:after="0"/>
        <w:rPr>
          <w:i/>
        </w:rPr>
      </w:pPr>
      <w:r w:rsidRPr="00E92408">
        <w:rPr>
          <w:i/>
        </w:rPr>
        <w:t>All rights reserved.</w:t>
      </w:r>
    </w:p>
    <w:p w14:paraId="2ADAB2AA" w14:textId="77777777" w:rsidR="00A741A2" w:rsidRPr="00E92408" w:rsidRDefault="00A741A2" w:rsidP="00A741A2">
      <w:pPr>
        <w:spacing w:after="0"/>
        <w:rPr>
          <w:i/>
        </w:rPr>
      </w:pPr>
    </w:p>
    <w:p w14:paraId="2304E180" w14:textId="77777777" w:rsidR="00A741A2" w:rsidRPr="00E92408" w:rsidRDefault="00A741A2" w:rsidP="00A741A2">
      <w:pPr>
        <w:rPr>
          <w:i/>
        </w:rPr>
      </w:pPr>
      <w:r w:rsidRPr="00E92408">
        <w:rPr>
          <w:i/>
        </w:rPr>
        <w:t xml:space="preserve">This file is part of </w:t>
      </w:r>
      <w:proofErr w:type="spellStart"/>
      <w:r w:rsidR="004C0AE6">
        <w:rPr>
          <w:i/>
        </w:rPr>
        <w:t>OpenETran</w:t>
      </w:r>
      <w:proofErr w:type="spellEnd"/>
      <w:r w:rsidRPr="00E92408">
        <w:rPr>
          <w:i/>
        </w:rPr>
        <w:t xml:space="preserve">. </w:t>
      </w:r>
    </w:p>
    <w:p w14:paraId="0D4BB8C1" w14:textId="77777777" w:rsidR="00A741A2" w:rsidRPr="00E92408" w:rsidRDefault="004C0AE6" w:rsidP="00A741A2">
      <w:pPr>
        <w:rPr>
          <w:i/>
        </w:rPr>
      </w:pPr>
      <w:proofErr w:type="spellStart"/>
      <w:r>
        <w:rPr>
          <w:i/>
        </w:rPr>
        <w:t>OpenETran</w:t>
      </w:r>
      <w:proofErr w:type="spellEnd"/>
      <w:r w:rsidR="00A741A2" w:rsidRPr="00E92408">
        <w:rPr>
          <w:i/>
        </w:rPr>
        <w:t xml:space="preserve"> is free software: you can redistribute it and/or modify it under the terms of the GNU General Public License as published by the Free Software Foundation, either version 3 of the License, or (at your option) any later version. </w:t>
      </w:r>
    </w:p>
    <w:p w14:paraId="2CFB8201" w14:textId="77777777" w:rsidR="00A741A2" w:rsidRPr="00E92408" w:rsidRDefault="004C0AE6" w:rsidP="00A741A2">
      <w:pPr>
        <w:rPr>
          <w:i/>
        </w:rPr>
      </w:pPr>
      <w:proofErr w:type="spellStart"/>
      <w:r>
        <w:rPr>
          <w:i/>
        </w:rPr>
        <w:t>OpenETran</w:t>
      </w:r>
      <w:proofErr w:type="spellEnd"/>
      <w:r w:rsidR="00A741A2" w:rsidRPr="00E92408">
        <w:rPr>
          <w:i/>
        </w:rPr>
        <w:t xml:space="preserve"> is distributed in the hope that it will be useful, but WITHOUT ANY WARRANTY; without even the implied warranty of MERCHANTABILITY or FITNESS FOR A PARTICULAR PURPOSE. See the GNU General Public License for more details. </w:t>
      </w:r>
    </w:p>
    <w:p w14:paraId="47B73B8D" w14:textId="77777777" w:rsidR="00A741A2" w:rsidRPr="00E92408" w:rsidRDefault="00A741A2" w:rsidP="00A741A2">
      <w:pPr>
        <w:rPr>
          <w:i/>
        </w:rPr>
      </w:pPr>
      <w:r w:rsidRPr="00E92408">
        <w:rPr>
          <w:i/>
        </w:rPr>
        <w:t xml:space="preserve">You should have received a copy of the GNU General Public License along with </w:t>
      </w:r>
      <w:proofErr w:type="spellStart"/>
      <w:r w:rsidR="004C0AE6">
        <w:rPr>
          <w:i/>
        </w:rPr>
        <w:t>OpenETran</w:t>
      </w:r>
      <w:proofErr w:type="spellEnd"/>
      <w:r w:rsidRPr="00E92408">
        <w:rPr>
          <w:i/>
        </w:rPr>
        <w:t>. If not, see &lt;http://www.gnu.org/licenses/&gt;.</w:t>
      </w:r>
    </w:p>
    <w:p w14:paraId="5B746C3C" w14:textId="77777777" w:rsidR="000D31AC" w:rsidRPr="00E92408" w:rsidRDefault="000D31AC">
      <w:pPr>
        <w:jc w:val="left"/>
        <w:rPr>
          <w:i/>
        </w:rPr>
      </w:pPr>
      <w:r w:rsidRPr="00E92408">
        <w:rPr>
          <w:i/>
        </w:rPr>
        <w:br w:type="page"/>
      </w:r>
    </w:p>
    <w:sdt>
      <w:sdtPr>
        <w:rPr>
          <w:rFonts w:ascii="Times New Roman" w:eastAsiaTheme="minorHAnsi" w:hAnsi="Times New Roman" w:cstheme="minorBidi"/>
          <w:color w:val="auto"/>
          <w:sz w:val="22"/>
          <w:szCs w:val="22"/>
          <w:lang w:val="en-US" w:eastAsia="en-US"/>
        </w:rPr>
        <w:id w:val="1914438834"/>
        <w:docPartObj>
          <w:docPartGallery w:val="Table of Contents"/>
          <w:docPartUnique/>
        </w:docPartObj>
      </w:sdtPr>
      <w:sdtEndPr>
        <w:rPr>
          <w:b/>
          <w:bCs/>
        </w:rPr>
      </w:sdtEndPr>
      <w:sdtContent>
        <w:p w14:paraId="1C6915BD" w14:textId="77777777" w:rsidR="000D31AC" w:rsidRPr="00E92408" w:rsidRDefault="000D31AC" w:rsidP="000D31AC">
          <w:pPr>
            <w:pStyle w:val="TOCHeading"/>
            <w:jc w:val="center"/>
            <w:rPr>
              <w:rFonts w:ascii="Times New Roman" w:hAnsi="Times New Roman" w:cs="Times New Roman"/>
              <w:lang w:val="en-US"/>
            </w:rPr>
          </w:pPr>
          <w:r w:rsidRPr="00E92408">
            <w:rPr>
              <w:rFonts w:ascii="Times New Roman" w:hAnsi="Times New Roman" w:cs="Times New Roman"/>
              <w:lang w:val="en-US"/>
            </w:rPr>
            <w:t>Table of contents</w:t>
          </w:r>
        </w:p>
        <w:p w14:paraId="0673A245" w14:textId="77777777" w:rsidR="000D31AC" w:rsidRPr="00E92408" w:rsidRDefault="000D31AC" w:rsidP="000D31AC">
          <w:pPr>
            <w:rPr>
              <w:lang w:eastAsia="fr-FR"/>
            </w:rPr>
          </w:pPr>
        </w:p>
        <w:p w14:paraId="01776EA8" w14:textId="0AAA0C16" w:rsidR="00A9424B" w:rsidRDefault="000D31AC">
          <w:pPr>
            <w:pStyle w:val="TOC1"/>
            <w:tabs>
              <w:tab w:val="right" w:leader="dot" w:pos="9062"/>
            </w:tabs>
            <w:rPr>
              <w:rFonts w:asciiTheme="minorHAnsi" w:eastAsiaTheme="minorEastAsia" w:hAnsiTheme="minorHAnsi"/>
              <w:noProof/>
            </w:rPr>
          </w:pPr>
          <w:r w:rsidRPr="00E92408">
            <w:fldChar w:fldCharType="begin"/>
          </w:r>
          <w:r w:rsidRPr="00E92408">
            <w:instrText xml:space="preserve"> TOC \o "1-3" \h \z \u </w:instrText>
          </w:r>
          <w:r w:rsidRPr="00E92408">
            <w:fldChar w:fldCharType="separate"/>
          </w:r>
          <w:hyperlink w:anchor="_Toc490999417" w:history="1">
            <w:r w:rsidR="00A9424B" w:rsidRPr="000021EB">
              <w:rPr>
                <w:rStyle w:val="Hyperlink"/>
                <w:noProof/>
              </w:rPr>
              <w:t>Copyright and License</w:t>
            </w:r>
            <w:r w:rsidR="00A9424B">
              <w:rPr>
                <w:noProof/>
                <w:webHidden/>
              </w:rPr>
              <w:tab/>
            </w:r>
            <w:r w:rsidR="00A9424B">
              <w:rPr>
                <w:noProof/>
                <w:webHidden/>
              </w:rPr>
              <w:fldChar w:fldCharType="begin"/>
            </w:r>
            <w:r w:rsidR="00A9424B">
              <w:rPr>
                <w:noProof/>
                <w:webHidden/>
              </w:rPr>
              <w:instrText xml:space="preserve"> PAGEREF _Toc490999417 \h </w:instrText>
            </w:r>
            <w:r w:rsidR="00A9424B">
              <w:rPr>
                <w:noProof/>
                <w:webHidden/>
              </w:rPr>
            </w:r>
            <w:r w:rsidR="00A9424B">
              <w:rPr>
                <w:noProof/>
                <w:webHidden/>
              </w:rPr>
              <w:fldChar w:fldCharType="separate"/>
            </w:r>
            <w:r w:rsidR="00A9424B">
              <w:rPr>
                <w:noProof/>
                <w:webHidden/>
              </w:rPr>
              <w:t>1</w:t>
            </w:r>
            <w:r w:rsidR="00A9424B">
              <w:rPr>
                <w:noProof/>
                <w:webHidden/>
              </w:rPr>
              <w:fldChar w:fldCharType="end"/>
            </w:r>
          </w:hyperlink>
        </w:p>
        <w:p w14:paraId="5DDCD2C2" w14:textId="211F4BE5" w:rsidR="00A9424B" w:rsidRDefault="00A9424B">
          <w:pPr>
            <w:pStyle w:val="TOC1"/>
            <w:tabs>
              <w:tab w:val="left" w:pos="440"/>
              <w:tab w:val="right" w:leader="dot" w:pos="9062"/>
            </w:tabs>
            <w:rPr>
              <w:rFonts w:asciiTheme="minorHAnsi" w:eastAsiaTheme="minorEastAsia" w:hAnsiTheme="minorHAnsi"/>
              <w:noProof/>
            </w:rPr>
          </w:pPr>
          <w:hyperlink w:anchor="_Toc490999418" w:history="1">
            <w:r w:rsidRPr="000021EB">
              <w:rPr>
                <w:rStyle w:val="Hyperlink"/>
                <w:noProof/>
              </w:rPr>
              <w:t>1</w:t>
            </w:r>
            <w:r>
              <w:rPr>
                <w:rFonts w:asciiTheme="minorHAnsi" w:eastAsiaTheme="minorEastAsia" w:hAnsiTheme="minorHAnsi"/>
                <w:noProof/>
              </w:rPr>
              <w:tab/>
            </w:r>
            <w:r w:rsidRPr="000021EB">
              <w:rPr>
                <w:rStyle w:val="Hyperlink"/>
                <w:noProof/>
              </w:rPr>
              <w:t>Revie0wer Notes</w:t>
            </w:r>
            <w:r>
              <w:rPr>
                <w:noProof/>
                <w:webHidden/>
              </w:rPr>
              <w:tab/>
            </w:r>
            <w:r>
              <w:rPr>
                <w:noProof/>
                <w:webHidden/>
              </w:rPr>
              <w:fldChar w:fldCharType="begin"/>
            </w:r>
            <w:r>
              <w:rPr>
                <w:noProof/>
                <w:webHidden/>
              </w:rPr>
              <w:instrText xml:space="preserve"> PAGEREF _Toc490999418 \h </w:instrText>
            </w:r>
            <w:r>
              <w:rPr>
                <w:noProof/>
                <w:webHidden/>
              </w:rPr>
            </w:r>
            <w:r>
              <w:rPr>
                <w:noProof/>
                <w:webHidden/>
              </w:rPr>
              <w:fldChar w:fldCharType="separate"/>
            </w:r>
            <w:r>
              <w:rPr>
                <w:noProof/>
                <w:webHidden/>
              </w:rPr>
              <w:t>3</w:t>
            </w:r>
            <w:r>
              <w:rPr>
                <w:noProof/>
                <w:webHidden/>
              </w:rPr>
              <w:fldChar w:fldCharType="end"/>
            </w:r>
          </w:hyperlink>
        </w:p>
        <w:p w14:paraId="7B8E515D" w14:textId="1A5F3628" w:rsidR="00A9424B" w:rsidRDefault="00A9424B">
          <w:pPr>
            <w:pStyle w:val="TOC1"/>
            <w:tabs>
              <w:tab w:val="left" w:pos="440"/>
              <w:tab w:val="right" w:leader="dot" w:pos="9062"/>
            </w:tabs>
            <w:rPr>
              <w:rFonts w:asciiTheme="minorHAnsi" w:eastAsiaTheme="minorEastAsia" w:hAnsiTheme="minorHAnsi"/>
              <w:noProof/>
            </w:rPr>
          </w:pPr>
          <w:hyperlink w:anchor="_Toc490999419" w:history="1">
            <w:r w:rsidRPr="000021EB">
              <w:rPr>
                <w:rStyle w:val="Hyperlink"/>
                <w:noProof/>
              </w:rPr>
              <w:t>2</w:t>
            </w:r>
            <w:r>
              <w:rPr>
                <w:rFonts w:asciiTheme="minorHAnsi" w:eastAsiaTheme="minorEastAsia" w:hAnsiTheme="minorHAnsi"/>
                <w:noProof/>
              </w:rPr>
              <w:tab/>
            </w:r>
            <w:r w:rsidRPr="000021EB">
              <w:rPr>
                <w:rStyle w:val="Hyperlink"/>
                <w:noProof/>
              </w:rPr>
              <w:t>500-kV Horizontal Line</w:t>
            </w:r>
            <w:r>
              <w:rPr>
                <w:noProof/>
                <w:webHidden/>
              </w:rPr>
              <w:tab/>
            </w:r>
            <w:r>
              <w:rPr>
                <w:noProof/>
                <w:webHidden/>
              </w:rPr>
              <w:fldChar w:fldCharType="begin"/>
            </w:r>
            <w:r>
              <w:rPr>
                <w:noProof/>
                <w:webHidden/>
              </w:rPr>
              <w:instrText xml:space="preserve"> PAGEREF _Toc490999419 \h </w:instrText>
            </w:r>
            <w:r>
              <w:rPr>
                <w:noProof/>
                <w:webHidden/>
              </w:rPr>
            </w:r>
            <w:r>
              <w:rPr>
                <w:noProof/>
                <w:webHidden/>
              </w:rPr>
              <w:fldChar w:fldCharType="separate"/>
            </w:r>
            <w:r>
              <w:rPr>
                <w:noProof/>
                <w:webHidden/>
              </w:rPr>
              <w:t>3</w:t>
            </w:r>
            <w:r>
              <w:rPr>
                <w:noProof/>
                <w:webHidden/>
              </w:rPr>
              <w:fldChar w:fldCharType="end"/>
            </w:r>
          </w:hyperlink>
        </w:p>
        <w:p w14:paraId="1DD44FE1" w14:textId="18332A85" w:rsidR="00A9424B" w:rsidRDefault="00A9424B">
          <w:pPr>
            <w:pStyle w:val="TOC1"/>
            <w:tabs>
              <w:tab w:val="left" w:pos="440"/>
              <w:tab w:val="right" w:leader="dot" w:pos="9062"/>
            </w:tabs>
            <w:rPr>
              <w:rFonts w:asciiTheme="minorHAnsi" w:eastAsiaTheme="minorEastAsia" w:hAnsiTheme="minorHAnsi"/>
              <w:noProof/>
            </w:rPr>
          </w:pPr>
          <w:hyperlink w:anchor="_Toc490999420" w:history="1">
            <w:r w:rsidRPr="000021EB">
              <w:rPr>
                <w:rStyle w:val="Hyperlink"/>
                <w:noProof/>
              </w:rPr>
              <w:t>3</w:t>
            </w:r>
            <w:r>
              <w:rPr>
                <w:rFonts w:asciiTheme="minorHAnsi" w:eastAsiaTheme="minorEastAsia" w:hAnsiTheme="minorHAnsi"/>
                <w:noProof/>
              </w:rPr>
              <w:tab/>
            </w:r>
            <w:r w:rsidRPr="000021EB">
              <w:rPr>
                <w:rStyle w:val="Hyperlink"/>
                <w:noProof/>
              </w:rPr>
              <w:t>15-kV Distribution Line</w:t>
            </w:r>
            <w:r>
              <w:rPr>
                <w:noProof/>
                <w:webHidden/>
              </w:rPr>
              <w:tab/>
            </w:r>
            <w:r>
              <w:rPr>
                <w:noProof/>
                <w:webHidden/>
              </w:rPr>
              <w:fldChar w:fldCharType="begin"/>
            </w:r>
            <w:r>
              <w:rPr>
                <w:noProof/>
                <w:webHidden/>
              </w:rPr>
              <w:instrText xml:space="preserve"> PAGEREF _Toc490999420 \h </w:instrText>
            </w:r>
            <w:r>
              <w:rPr>
                <w:noProof/>
                <w:webHidden/>
              </w:rPr>
            </w:r>
            <w:r>
              <w:rPr>
                <w:noProof/>
                <w:webHidden/>
              </w:rPr>
              <w:fldChar w:fldCharType="separate"/>
            </w:r>
            <w:r>
              <w:rPr>
                <w:noProof/>
                <w:webHidden/>
              </w:rPr>
              <w:t>9</w:t>
            </w:r>
            <w:r>
              <w:rPr>
                <w:noProof/>
                <w:webHidden/>
              </w:rPr>
              <w:fldChar w:fldCharType="end"/>
            </w:r>
          </w:hyperlink>
        </w:p>
        <w:p w14:paraId="75091E36" w14:textId="192B7315" w:rsidR="00A9424B" w:rsidRDefault="00A9424B">
          <w:pPr>
            <w:pStyle w:val="TOC1"/>
            <w:tabs>
              <w:tab w:val="left" w:pos="440"/>
              <w:tab w:val="right" w:leader="dot" w:pos="9062"/>
            </w:tabs>
            <w:rPr>
              <w:rFonts w:asciiTheme="minorHAnsi" w:eastAsiaTheme="minorEastAsia" w:hAnsiTheme="minorHAnsi"/>
              <w:noProof/>
            </w:rPr>
          </w:pPr>
          <w:hyperlink w:anchor="_Toc490999421" w:history="1">
            <w:r w:rsidRPr="000021EB">
              <w:rPr>
                <w:rStyle w:val="Hyperlink"/>
                <w:noProof/>
              </w:rPr>
              <w:t>4</w:t>
            </w:r>
            <w:r>
              <w:rPr>
                <w:rFonts w:asciiTheme="minorHAnsi" w:eastAsiaTheme="minorEastAsia" w:hAnsiTheme="minorHAnsi"/>
                <w:noProof/>
              </w:rPr>
              <w:tab/>
            </w:r>
            <w:r w:rsidRPr="000021EB">
              <w:rPr>
                <w:rStyle w:val="Hyperlink"/>
                <w:noProof/>
              </w:rPr>
              <w:t>35-kV Distribution Line</w:t>
            </w:r>
            <w:r>
              <w:rPr>
                <w:noProof/>
                <w:webHidden/>
              </w:rPr>
              <w:tab/>
            </w:r>
            <w:r>
              <w:rPr>
                <w:noProof/>
                <w:webHidden/>
              </w:rPr>
              <w:fldChar w:fldCharType="begin"/>
            </w:r>
            <w:r>
              <w:rPr>
                <w:noProof/>
                <w:webHidden/>
              </w:rPr>
              <w:instrText xml:space="preserve"> PAGEREF _Toc490999421 \h </w:instrText>
            </w:r>
            <w:r>
              <w:rPr>
                <w:noProof/>
                <w:webHidden/>
              </w:rPr>
            </w:r>
            <w:r>
              <w:rPr>
                <w:noProof/>
                <w:webHidden/>
              </w:rPr>
              <w:fldChar w:fldCharType="separate"/>
            </w:r>
            <w:r>
              <w:rPr>
                <w:noProof/>
                <w:webHidden/>
              </w:rPr>
              <w:t>9</w:t>
            </w:r>
            <w:r>
              <w:rPr>
                <w:noProof/>
                <w:webHidden/>
              </w:rPr>
              <w:fldChar w:fldCharType="end"/>
            </w:r>
          </w:hyperlink>
        </w:p>
        <w:p w14:paraId="79D8F5A6" w14:textId="220103FB" w:rsidR="00A9424B" w:rsidRDefault="00A9424B">
          <w:pPr>
            <w:pStyle w:val="TOC1"/>
            <w:tabs>
              <w:tab w:val="left" w:pos="440"/>
              <w:tab w:val="right" w:leader="dot" w:pos="9062"/>
            </w:tabs>
            <w:rPr>
              <w:rFonts w:asciiTheme="minorHAnsi" w:eastAsiaTheme="minorEastAsia" w:hAnsiTheme="minorHAnsi"/>
              <w:noProof/>
            </w:rPr>
          </w:pPr>
          <w:hyperlink w:anchor="_Toc490999422" w:history="1">
            <w:r w:rsidRPr="000021EB">
              <w:rPr>
                <w:rStyle w:val="Hyperlink"/>
                <w:noProof/>
              </w:rPr>
              <w:t>5</w:t>
            </w:r>
            <w:r>
              <w:rPr>
                <w:rFonts w:asciiTheme="minorHAnsi" w:eastAsiaTheme="minorEastAsia" w:hAnsiTheme="minorHAnsi"/>
                <w:noProof/>
              </w:rPr>
              <w:tab/>
            </w:r>
            <w:r w:rsidRPr="000021EB">
              <w:rPr>
                <w:rStyle w:val="Hyperlink"/>
                <w:noProof/>
              </w:rPr>
              <w:t>Double-Circuit Transmission Line</w:t>
            </w:r>
            <w:r>
              <w:rPr>
                <w:noProof/>
                <w:webHidden/>
              </w:rPr>
              <w:tab/>
            </w:r>
            <w:r>
              <w:rPr>
                <w:noProof/>
                <w:webHidden/>
              </w:rPr>
              <w:fldChar w:fldCharType="begin"/>
            </w:r>
            <w:r>
              <w:rPr>
                <w:noProof/>
                <w:webHidden/>
              </w:rPr>
              <w:instrText xml:space="preserve"> PAGEREF _Toc490999422 \h </w:instrText>
            </w:r>
            <w:r>
              <w:rPr>
                <w:noProof/>
                <w:webHidden/>
              </w:rPr>
            </w:r>
            <w:r>
              <w:rPr>
                <w:noProof/>
                <w:webHidden/>
              </w:rPr>
              <w:fldChar w:fldCharType="separate"/>
            </w:r>
            <w:r>
              <w:rPr>
                <w:noProof/>
                <w:webHidden/>
              </w:rPr>
              <w:t>9</w:t>
            </w:r>
            <w:r>
              <w:rPr>
                <w:noProof/>
                <w:webHidden/>
              </w:rPr>
              <w:fldChar w:fldCharType="end"/>
            </w:r>
          </w:hyperlink>
        </w:p>
        <w:p w14:paraId="1354E136" w14:textId="3F88EFFB" w:rsidR="00A9424B" w:rsidRDefault="00A9424B">
          <w:pPr>
            <w:pStyle w:val="TOC1"/>
            <w:tabs>
              <w:tab w:val="left" w:pos="440"/>
              <w:tab w:val="right" w:leader="dot" w:pos="9062"/>
            </w:tabs>
            <w:rPr>
              <w:rFonts w:asciiTheme="minorHAnsi" w:eastAsiaTheme="minorEastAsia" w:hAnsiTheme="minorHAnsi"/>
              <w:noProof/>
            </w:rPr>
          </w:pPr>
          <w:hyperlink w:anchor="_Toc490999423" w:history="1">
            <w:r w:rsidRPr="000021EB">
              <w:rPr>
                <w:rStyle w:val="Hyperlink"/>
                <w:noProof/>
              </w:rPr>
              <w:t>6</w:t>
            </w:r>
            <w:r>
              <w:rPr>
                <w:rFonts w:asciiTheme="minorHAnsi" w:eastAsiaTheme="minorEastAsia" w:hAnsiTheme="minorHAnsi"/>
                <w:noProof/>
              </w:rPr>
              <w:tab/>
            </w:r>
            <w:r w:rsidRPr="000021EB">
              <w:rPr>
                <w:rStyle w:val="Hyperlink"/>
                <w:noProof/>
              </w:rPr>
              <w:t>References</w:t>
            </w:r>
            <w:r>
              <w:rPr>
                <w:noProof/>
                <w:webHidden/>
              </w:rPr>
              <w:tab/>
            </w:r>
            <w:r>
              <w:rPr>
                <w:noProof/>
                <w:webHidden/>
              </w:rPr>
              <w:fldChar w:fldCharType="begin"/>
            </w:r>
            <w:r>
              <w:rPr>
                <w:noProof/>
                <w:webHidden/>
              </w:rPr>
              <w:instrText xml:space="preserve"> PAGEREF _Toc490999423 \h </w:instrText>
            </w:r>
            <w:r>
              <w:rPr>
                <w:noProof/>
                <w:webHidden/>
              </w:rPr>
            </w:r>
            <w:r>
              <w:rPr>
                <w:noProof/>
                <w:webHidden/>
              </w:rPr>
              <w:fldChar w:fldCharType="separate"/>
            </w:r>
            <w:r>
              <w:rPr>
                <w:noProof/>
                <w:webHidden/>
              </w:rPr>
              <w:t>10</w:t>
            </w:r>
            <w:r>
              <w:rPr>
                <w:noProof/>
                <w:webHidden/>
              </w:rPr>
              <w:fldChar w:fldCharType="end"/>
            </w:r>
          </w:hyperlink>
        </w:p>
        <w:p w14:paraId="520A21F2" w14:textId="5BF28223" w:rsidR="000D31AC" w:rsidRPr="00E92408" w:rsidRDefault="000D31AC" w:rsidP="006F16D9">
          <w:pPr>
            <w:pStyle w:val="TOC2"/>
            <w:tabs>
              <w:tab w:val="left" w:pos="880"/>
              <w:tab w:val="right" w:leader="dot" w:pos="9062"/>
            </w:tabs>
          </w:pPr>
          <w:r w:rsidRPr="00E92408">
            <w:rPr>
              <w:b/>
              <w:bCs/>
            </w:rPr>
            <w:fldChar w:fldCharType="end"/>
          </w:r>
        </w:p>
      </w:sdtContent>
    </w:sdt>
    <w:p w14:paraId="69C514AF" w14:textId="77777777" w:rsidR="00337BE5" w:rsidRPr="00E92408" w:rsidRDefault="00337BE5">
      <w:pPr>
        <w:jc w:val="left"/>
      </w:pPr>
      <w:r w:rsidRPr="00E92408">
        <w:br w:type="page"/>
      </w:r>
      <w:bookmarkStart w:id="1" w:name="_GoBack"/>
      <w:bookmarkEnd w:id="1"/>
    </w:p>
    <w:p w14:paraId="51C0FD12" w14:textId="5AAC0844" w:rsidR="008B6E05" w:rsidRPr="00E92408" w:rsidRDefault="008B6E05" w:rsidP="008B6E05">
      <w:pPr>
        <w:pStyle w:val="Heading1"/>
      </w:pPr>
      <w:bookmarkStart w:id="2" w:name="_Toc490999418"/>
      <w:r>
        <w:lastRenderedPageBreak/>
        <w:t>Revie</w:t>
      </w:r>
      <w:r w:rsidR="00F072C7">
        <w:t>0</w:t>
      </w:r>
      <w:r>
        <w:t>wer Notes</w:t>
      </w:r>
      <w:bookmarkEnd w:id="2"/>
    </w:p>
    <w:p w14:paraId="73B97454" w14:textId="09C2BA66" w:rsidR="008B6E05" w:rsidRDefault="008B6E05" w:rsidP="008B6E05">
      <w:pPr>
        <w:ind w:firstLine="284"/>
        <w:rPr>
          <w:color w:val="000000" w:themeColor="text1"/>
        </w:rPr>
      </w:pPr>
      <w:r>
        <w:rPr>
          <w:color w:val="000000" w:themeColor="text1"/>
        </w:rPr>
        <w:t>In this pre-release phase, GLIG reviewers should please add comments and changes to those already listed below</w:t>
      </w:r>
      <w:r>
        <w:rPr>
          <w:color w:val="000000" w:themeColor="text1"/>
        </w:rPr>
        <w:t>.</w:t>
      </w:r>
    </w:p>
    <w:p w14:paraId="0E75A22A" w14:textId="65B48CED" w:rsidR="008B6E05" w:rsidRDefault="008B6E05" w:rsidP="008B6E05">
      <w:pPr>
        <w:pStyle w:val="ListParagraph"/>
        <w:numPr>
          <w:ilvl w:val="0"/>
          <w:numId w:val="41"/>
        </w:numPr>
        <w:rPr>
          <w:color w:val="000000" w:themeColor="text1"/>
        </w:rPr>
      </w:pPr>
      <w:r>
        <w:rPr>
          <w:color w:val="000000" w:themeColor="text1"/>
        </w:rPr>
        <w:t>File open and save dialogs should remember the last location used</w:t>
      </w:r>
    </w:p>
    <w:p w14:paraId="5A8F3CB5" w14:textId="424A2020" w:rsidR="00803C9F" w:rsidRDefault="00803C9F" w:rsidP="008B6E05">
      <w:pPr>
        <w:pStyle w:val="ListParagraph"/>
        <w:numPr>
          <w:ilvl w:val="0"/>
          <w:numId w:val="41"/>
        </w:numPr>
        <w:rPr>
          <w:color w:val="000000" w:themeColor="text1"/>
        </w:rPr>
      </w:pPr>
      <w:r>
        <w:rPr>
          <w:color w:val="000000" w:themeColor="text1"/>
        </w:rPr>
        <w:t xml:space="preserve">If the user has saved project to a specific name, that one should be used instead of </w:t>
      </w:r>
      <w:r>
        <w:rPr>
          <w:i/>
          <w:color w:val="000000" w:themeColor="text1"/>
        </w:rPr>
        <w:t>home</w:t>
      </w:r>
    </w:p>
    <w:p w14:paraId="30BF4C82" w14:textId="3BC345F8" w:rsidR="00803C9F" w:rsidRDefault="00803C9F" w:rsidP="008B6E05">
      <w:pPr>
        <w:pStyle w:val="ListParagraph"/>
        <w:numPr>
          <w:ilvl w:val="0"/>
          <w:numId w:val="41"/>
        </w:numPr>
        <w:rPr>
          <w:color w:val="000000" w:themeColor="text1"/>
        </w:rPr>
      </w:pPr>
      <w:r>
        <w:rPr>
          <w:color w:val="000000" w:themeColor="text1"/>
        </w:rPr>
        <w:t>Project should save the nearby object, ground slope, flash density and line length data from the Phase View</w:t>
      </w:r>
    </w:p>
    <w:p w14:paraId="65E4AD7F" w14:textId="0FC094AA" w:rsidR="008B6E05" w:rsidRDefault="008B6E05" w:rsidP="008B6E05">
      <w:pPr>
        <w:pStyle w:val="ListParagraph"/>
        <w:numPr>
          <w:ilvl w:val="0"/>
          <w:numId w:val="41"/>
        </w:numPr>
        <w:rPr>
          <w:color w:val="000000" w:themeColor="text1"/>
        </w:rPr>
      </w:pPr>
      <w:r>
        <w:rPr>
          <w:color w:val="000000" w:themeColor="text1"/>
        </w:rPr>
        <w:t>Add Resistor tab to the Simplified interface; it’s commonly used to connect shield wires</w:t>
      </w:r>
    </w:p>
    <w:p w14:paraId="6A13EC96" w14:textId="0539499F" w:rsidR="008B6E05" w:rsidRDefault="00F95BCF" w:rsidP="008B6E05">
      <w:pPr>
        <w:pStyle w:val="ListParagraph"/>
        <w:numPr>
          <w:ilvl w:val="0"/>
          <w:numId w:val="41"/>
        </w:numPr>
        <w:rPr>
          <w:color w:val="000000" w:themeColor="text1"/>
        </w:rPr>
      </w:pPr>
      <w:r>
        <w:rPr>
          <w:color w:val="000000" w:themeColor="text1"/>
        </w:rPr>
        <w:t>Pre-fill the default LPM parameters for KI and E0</w:t>
      </w:r>
    </w:p>
    <w:p w14:paraId="01CA1CF3" w14:textId="06F6AB3C" w:rsidR="00F95BCF" w:rsidRDefault="00F95BCF" w:rsidP="008B6E05">
      <w:pPr>
        <w:pStyle w:val="ListParagraph"/>
        <w:numPr>
          <w:ilvl w:val="0"/>
          <w:numId w:val="41"/>
        </w:numPr>
        <w:rPr>
          <w:color w:val="000000" w:themeColor="text1"/>
        </w:rPr>
      </w:pPr>
      <w:r>
        <w:rPr>
          <w:color w:val="000000" w:themeColor="text1"/>
        </w:rPr>
        <w:t>Pre-fill the default Ground parameters for E0</w:t>
      </w:r>
    </w:p>
    <w:p w14:paraId="4013DD16" w14:textId="516E8E54" w:rsidR="00DD3890" w:rsidRDefault="00DD3890" w:rsidP="008B6E05">
      <w:pPr>
        <w:pStyle w:val="ListParagraph"/>
        <w:numPr>
          <w:ilvl w:val="0"/>
          <w:numId w:val="41"/>
        </w:numPr>
        <w:rPr>
          <w:color w:val="000000" w:themeColor="text1"/>
        </w:rPr>
      </w:pPr>
      <w:r>
        <w:rPr>
          <w:color w:val="000000" w:themeColor="text1"/>
        </w:rPr>
        <w:t>In the setup for critical current iterations, the prompts for first tower, last tower, and wire flags need to remain visible</w:t>
      </w:r>
    </w:p>
    <w:p w14:paraId="195717F7" w14:textId="18DF12E5" w:rsidR="00937CC5" w:rsidRDefault="00937CC5" w:rsidP="008B6E05">
      <w:pPr>
        <w:pStyle w:val="ListParagraph"/>
        <w:numPr>
          <w:ilvl w:val="0"/>
          <w:numId w:val="41"/>
        </w:numPr>
        <w:rPr>
          <w:color w:val="000000" w:themeColor="text1"/>
        </w:rPr>
      </w:pPr>
      <w:r>
        <w:rPr>
          <w:color w:val="000000" w:themeColor="text1"/>
        </w:rPr>
        <w:t xml:space="preserve">On the ground tab, the formula behind </w:t>
      </w:r>
      <w:r w:rsidRPr="00D57DED">
        <w:rPr>
          <w:b/>
          <w:i/>
          <w:color w:val="000000" w:themeColor="text1"/>
        </w:rPr>
        <w:t>Get R60</w:t>
      </w:r>
      <w:r>
        <w:rPr>
          <w:color w:val="000000" w:themeColor="text1"/>
        </w:rPr>
        <w:t xml:space="preserve"> should update to Dwight’s formula, because we changed the counterpoise ladder assembly.</w:t>
      </w:r>
    </w:p>
    <w:p w14:paraId="40E48E4B" w14:textId="289C69E5" w:rsidR="00F072C7" w:rsidRDefault="00F072C7" w:rsidP="00F072C7">
      <w:pPr>
        <w:pStyle w:val="ListParagraph"/>
        <w:numPr>
          <w:ilvl w:val="1"/>
          <w:numId w:val="41"/>
        </w:numPr>
        <w:rPr>
          <w:color w:val="000000" w:themeColor="text1"/>
        </w:rPr>
      </w:pPr>
      <w:r>
        <w:rPr>
          <w:color w:val="000000" w:themeColor="text1"/>
        </w:rPr>
        <w:t xml:space="preserve">Dwight </w:t>
      </w:r>
      <w:r w:rsidRPr="00F072C7">
        <w:rPr>
          <w:color w:val="000000" w:themeColor="text1"/>
          <w:position w:val="-50"/>
        </w:rPr>
        <w:object w:dxaOrig="7040" w:dyaOrig="1200" w14:anchorId="4367D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24.4pt;height:38.35pt" o:ole="">
            <v:imagedata r:id="rId8" o:title=""/>
          </v:shape>
          <o:OLEObject Type="Embed" ProgID="Equation.DSMT4" ShapeID="_x0000_i1027" DrawAspect="Content" ObjectID="_1564741266" r:id="rId9"/>
        </w:object>
      </w:r>
      <w:r>
        <w:rPr>
          <w:color w:val="000000" w:themeColor="text1"/>
        </w:rPr>
        <w:t xml:space="preserve"> </w:t>
      </w:r>
    </w:p>
    <w:p w14:paraId="13973030" w14:textId="55A3CD59" w:rsidR="00F072C7" w:rsidRDefault="00F072C7" w:rsidP="00F072C7">
      <w:pPr>
        <w:pStyle w:val="ListParagraph"/>
        <w:numPr>
          <w:ilvl w:val="1"/>
          <w:numId w:val="41"/>
        </w:numPr>
        <w:rPr>
          <w:color w:val="000000" w:themeColor="text1"/>
        </w:rPr>
      </w:pPr>
      <w:r>
        <w:rPr>
          <w:color w:val="000000" w:themeColor="text1"/>
        </w:rPr>
        <w:t xml:space="preserve">Note: </w:t>
      </w:r>
      <w:proofErr w:type="spellStart"/>
      <w:r>
        <w:rPr>
          <w:color w:val="000000" w:themeColor="text1"/>
        </w:rPr>
        <w:t>Sunde’s</w:t>
      </w:r>
      <w:proofErr w:type="spellEnd"/>
      <w:r>
        <w:rPr>
          <w:color w:val="000000" w:themeColor="text1"/>
        </w:rPr>
        <w:t xml:space="preserve"> is used in [1]: </w:t>
      </w:r>
      <w:r w:rsidRPr="00F072C7">
        <w:rPr>
          <w:color w:val="000000" w:themeColor="text1"/>
          <w:position w:val="-50"/>
        </w:rPr>
        <w:object w:dxaOrig="4160" w:dyaOrig="1200" w14:anchorId="38B8C84A">
          <v:shape id="_x0000_i1033" type="#_x0000_t75" style="width:161.75pt;height:46.75pt" o:ole="">
            <v:imagedata r:id="rId10" o:title=""/>
          </v:shape>
          <o:OLEObject Type="Embed" ProgID="Equation.DSMT4" ShapeID="_x0000_i1033" DrawAspect="Content" ObjectID="_1564741267" r:id="rId11"/>
        </w:object>
      </w:r>
      <w:r>
        <w:rPr>
          <w:color w:val="000000" w:themeColor="text1"/>
        </w:rPr>
        <w:t xml:space="preserve"> </w:t>
      </w:r>
    </w:p>
    <w:p w14:paraId="0367979F" w14:textId="3E418735" w:rsidR="00E24495" w:rsidRPr="008B6E05" w:rsidRDefault="00E24495" w:rsidP="008B6E05">
      <w:pPr>
        <w:pStyle w:val="ListParagraph"/>
        <w:numPr>
          <w:ilvl w:val="0"/>
          <w:numId w:val="41"/>
        </w:numPr>
        <w:rPr>
          <w:color w:val="000000" w:themeColor="text1"/>
        </w:rPr>
      </w:pPr>
      <w:r>
        <w:rPr>
          <w:color w:val="000000" w:themeColor="text1"/>
        </w:rPr>
        <w:t>Add guidance for determining tower inductance.</w:t>
      </w:r>
    </w:p>
    <w:p w14:paraId="14F6683F" w14:textId="2B5D63BA" w:rsidR="001E407E" w:rsidRPr="00E92408" w:rsidRDefault="00BB78AF" w:rsidP="001E407E">
      <w:pPr>
        <w:pStyle w:val="Heading1"/>
      </w:pPr>
      <w:bookmarkStart w:id="3" w:name="_Toc490999419"/>
      <w:r>
        <w:t>500-kV Horizontal Line</w:t>
      </w:r>
      <w:bookmarkEnd w:id="3"/>
    </w:p>
    <w:p w14:paraId="34BD51F3" w14:textId="4E08B65D" w:rsidR="001E407E" w:rsidRDefault="00187DF2" w:rsidP="004C0AE6">
      <w:pPr>
        <w:ind w:firstLine="284"/>
        <w:rPr>
          <w:color w:val="000000" w:themeColor="text1"/>
        </w:rPr>
      </w:pPr>
      <w:r>
        <w:rPr>
          <w:color w:val="000000" w:themeColor="text1"/>
        </w:rPr>
        <w:t xml:space="preserve">This example is based on </w:t>
      </w:r>
      <w:r w:rsidR="003979E0">
        <w:rPr>
          <w:color w:val="000000" w:themeColor="text1"/>
        </w:rPr>
        <w:t xml:space="preserve">pp. 27-32 in </w:t>
      </w:r>
      <w:r>
        <w:rPr>
          <w:color w:val="000000" w:themeColor="text1"/>
        </w:rPr>
        <w:t>Annex B of [1]</w:t>
      </w:r>
      <w:r w:rsidR="00CE07C5" w:rsidRPr="004C0AE6">
        <w:rPr>
          <w:color w:val="000000" w:themeColor="text1"/>
        </w:rPr>
        <w:t>.</w:t>
      </w:r>
      <w:r w:rsidR="008E5CC0">
        <w:rPr>
          <w:color w:val="000000" w:themeColor="text1"/>
        </w:rPr>
        <w:t xml:space="preserve"> When you start the GUI, two windows appear. One is the</w:t>
      </w:r>
      <w:r w:rsidR="00744B3E">
        <w:rPr>
          <w:color w:val="000000" w:themeColor="text1"/>
        </w:rPr>
        <w:t xml:space="preserve"> main</w:t>
      </w:r>
      <w:r w:rsidR="003979E0">
        <w:rPr>
          <w:color w:val="000000" w:themeColor="text1"/>
        </w:rPr>
        <w:t xml:space="preserve"> component panel</w:t>
      </w:r>
      <w:r w:rsidR="00744B3E">
        <w:rPr>
          <w:color w:val="000000" w:themeColor="text1"/>
        </w:rPr>
        <w:t xml:space="preserve"> called </w:t>
      </w:r>
      <w:proofErr w:type="spellStart"/>
      <w:r w:rsidR="00744B3E" w:rsidRPr="00744B3E">
        <w:rPr>
          <w:b/>
          <w:i/>
          <w:color w:val="000000" w:themeColor="text1"/>
        </w:rPr>
        <w:t>OpenETran</w:t>
      </w:r>
      <w:proofErr w:type="spellEnd"/>
      <w:r w:rsidR="003979E0">
        <w:rPr>
          <w:color w:val="000000" w:themeColor="text1"/>
        </w:rPr>
        <w:t xml:space="preserve">, and the other is the </w:t>
      </w:r>
      <w:r w:rsidR="00744B3E" w:rsidRPr="00744B3E">
        <w:rPr>
          <w:b/>
          <w:i/>
          <w:color w:val="000000" w:themeColor="text1"/>
        </w:rPr>
        <w:t>Phase View</w:t>
      </w:r>
      <w:r w:rsidR="003979E0">
        <w:rPr>
          <w:color w:val="000000" w:themeColor="text1"/>
        </w:rPr>
        <w:t>.</w:t>
      </w:r>
    </w:p>
    <w:p w14:paraId="48E8B9C2" w14:textId="585C8FCA" w:rsidR="003979E0" w:rsidRDefault="003979E0" w:rsidP="004C0AE6">
      <w:pPr>
        <w:ind w:firstLine="284"/>
        <w:rPr>
          <w:color w:val="000000" w:themeColor="text1"/>
        </w:rPr>
      </w:pPr>
      <w:r>
        <w:rPr>
          <w:color w:val="000000" w:themeColor="text1"/>
        </w:rPr>
        <w:t xml:space="preserve">Click the </w:t>
      </w:r>
      <w:r>
        <w:rPr>
          <w:b/>
          <w:i/>
          <w:color w:val="000000" w:themeColor="text1"/>
        </w:rPr>
        <w:t>Simulation</w:t>
      </w:r>
      <w:r w:rsidR="007310F0">
        <w:rPr>
          <w:color w:val="000000" w:themeColor="text1"/>
        </w:rPr>
        <w:t xml:space="preserve"> </w:t>
      </w:r>
      <w:r w:rsidR="00744B3E">
        <w:rPr>
          <w:color w:val="000000" w:themeColor="text1"/>
        </w:rPr>
        <w:t xml:space="preserve">tab on the main window </w:t>
      </w:r>
      <w:r w:rsidR="007310F0">
        <w:rPr>
          <w:color w:val="000000" w:themeColor="text1"/>
        </w:rPr>
        <w:t>and fill it out as follows. This creates a framework of 11 towers, each separated by 300 m. There are 5 conductors, to be labeled A, B, C, S1 and S2.</w:t>
      </w:r>
    </w:p>
    <w:p w14:paraId="67F51F32" w14:textId="003E5915" w:rsidR="003979E0" w:rsidRDefault="003979E0" w:rsidP="004C0AE6">
      <w:pPr>
        <w:ind w:firstLine="284"/>
        <w:rPr>
          <w:color w:val="000000" w:themeColor="text1"/>
        </w:rPr>
      </w:pPr>
      <w:r>
        <w:rPr>
          <w:noProof/>
        </w:rPr>
        <w:drawing>
          <wp:inline distT="0" distB="0" distL="0" distR="0" wp14:anchorId="2679ECE7" wp14:editId="5CABB1F2">
            <wp:extent cx="576072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609725"/>
                    </a:xfrm>
                    <a:prstGeom prst="rect">
                      <a:avLst/>
                    </a:prstGeom>
                  </pic:spPr>
                </pic:pic>
              </a:graphicData>
            </a:graphic>
          </wp:inline>
        </w:drawing>
      </w:r>
    </w:p>
    <w:p w14:paraId="72EC215D" w14:textId="58BE0B39" w:rsidR="00106548" w:rsidRDefault="00106548" w:rsidP="004C0AE6">
      <w:pPr>
        <w:ind w:firstLine="284"/>
        <w:rPr>
          <w:color w:val="000000" w:themeColor="text1"/>
        </w:rPr>
      </w:pPr>
      <w:r>
        <w:rPr>
          <w:color w:val="000000" w:themeColor="text1"/>
        </w:rPr>
        <w:t xml:space="preserve">Click the </w:t>
      </w:r>
      <w:r>
        <w:rPr>
          <w:b/>
          <w:i/>
          <w:color w:val="000000" w:themeColor="text1"/>
        </w:rPr>
        <w:t>Conductors</w:t>
      </w:r>
      <w:r>
        <w:rPr>
          <w:color w:val="000000" w:themeColor="text1"/>
        </w:rPr>
        <w:t xml:space="preserve"> tab, then click </w:t>
      </w:r>
      <w:r>
        <w:rPr>
          <w:b/>
          <w:i/>
          <w:color w:val="000000" w:themeColor="text1"/>
        </w:rPr>
        <w:t>New</w:t>
      </w:r>
      <w:r>
        <w:rPr>
          <w:color w:val="000000" w:themeColor="text1"/>
        </w:rPr>
        <w:t xml:space="preserve"> four times, and fill it out as follows:</w:t>
      </w:r>
    </w:p>
    <w:p w14:paraId="0DC163A0" w14:textId="6F660816" w:rsidR="00106548" w:rsidRDefault="00106548" w:rsidP="004C0AE6">
      <w:pPr>
        <w:ind w:firstLine="284"/>
        <w:rPr>
          <w:color w:val="000000" w:themeColor="text1"/>
        </w:rPr>
      </w:pPr>
      <w:r>
        <w:rPr>
          <w:noProof/>
        </w:rPr>
        <w:lastRenderedPageBreak/>
        <w:drawing>
          <wp:inline distT="0" distB="0" distL="0" distR="0" wp14:anchorId="27AD3B6B" wp14:editId="79CB4822">
            <wp:extent cx="5760720" cy="54127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412740"/>
                    </a:xfrm>
                    <a:prstGeom prst="rect">
                      <a:avLst/>
                    </a:prstGeom>
                  </pic:spPr>
                </pic:pic>
              </a:graphicData>
            </a:graphic>
          </wp:inline>
        </w:drawing>
      </w:r>
    </w:p>
    <w:p w14:paraId="2C8756EF" w14:textId="14264BE2" w:rsidR="00106548" w:rsidRDefault="008133C2" w:rsidP="00106548">
      <w:pPr>
        <w:ind w:firstLine="284"/>
        <w:rPr>
          <w:color w:val="000000" w:themeColor="text1"/>
        </w:rPr>
      </w:pPr>
      <w:r>
        <w:rPr>
          <w:color w:val="000000" w:themeColor="text1"/>
        </w:rPr>
        <w:t xml:space="preserve">Click the </w:t>
      </w:r>
      <w:r>
        <w:rPr>
          <w:b/>
          <w:i/>
          <w:color w:val="000000" w:themeColor="text1"/>
        </w:rPr>
        <w:t>Label</w:t>
      </w:r>
      <w:r w:rsidR="00106548">
        <w:rPr>
          <w:b/>
          <w:i/>
          <w:color w:val="000000" w:themeColor="text1"/>
        </w:rPr>
        <w:t>s</w:t>
      </w:r>
      <w:r w:rsidR="00106548">
        <w:rPr>
          <w:color w:val="000000" w:themeColor="text1"/>
        </w:rPr>
        <w:t xml:space="preserve"> tab, then click </w:t>
      </w:r>
      <w:r w:rsidR="00106548">
        <w:rPr>
          <w:b/>
          <w:i/>
          <w:color w:val="000000" w:themeColor="text1"/>
        </w:rPr>
        <w:t>New</w:t>
      </w:r>
      <w:r w:rsidR="00106548">
        <w:rPr>
          <w:color w:val="000000" w:themeColor="text1"/>
        </w:rPr>
        <w:t xml:space="preserve"> four times, and fill it out as follows:</w:t>
      </w:r>
    </w:p>
    <w:p w14:paraId="38512FD9" w14:textId="3F55FD1E" w:rsidR="00106548" w:rsidRDefault="00CA206F" w:rsidP="004C0AE6">
      <w:pPr>
        <w:ind w:firstLine="284"/>
        <w:rPr>
          <w:color w:val="000000" w:themeColor="text1"/>
        </w:rPr>
      </w:pPr>
      <w:r>
        <w:rPr>
          <w:noProof/>
        </w:rPr>
        <w:drawing>
          <wp:inline distT="0" distB="0" distL="0" distR="0" wp14:anchorId="077B9272" wp14:editId="43445DC2">
            <wp:extent cx="5760720" cy="18497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849755"/>
                    </a:xfrm>
                    <a:prstGeom prst="rect">
                      <a:avLst/>
                    </a:prstGeom>
                  </pic:spPr>
                </pic:pic>
              </a:graphicData>
            </a:graphic>
          </wp:inline>
        </w:drawing>
      </w:r>
    </w:p>
    <w:p w14:paraId="1F8EB610" w14:textId="7C50B05D" w:rsidR="00CA206F" w:rsidRDefault="00CA206F" w:rsidP="00CA206F">
      <w:pPr>
        <w:ind w:firstLine="284"/>
        <w:rPr>
          <w:color w:val="000000" w:themeColor="text1"/>
        </w:rPr>
      </w:pPr>
      <w:r>
        <w:rPr>
          <w:color w:val="000000" w:themeColor="text1"/>
        </w:rPr>
        <w:t xml:space="preserve">Click the </w:t>
      </w:r>
      <w:r>
        <w:rPr>
          <w:b/>
          <w:i/>
          <w:color w:val="000000" w:themeColor="text1"/>
        </w:rPr>
        <w:t>Ground</w:t>
      </w:r>
      <w:r>
        <w:rPr>
          <w:color w:val="000000" w:themeColor="text1"/>
        </w:rPr>
        <w:t xml:space="preserve"> tab, </w:t>
      </w:r>
      <w:r w:rsidR="00414D31">
        <w:rPr>
          <w:color w:val="000000" w:themeColor="text1"/>
        </w:rPr>
        <w:t>and fill it out as follows. This puts a counterpoise and tower inductance on the first shield wire, S1, at every tower. We’ll connect S2 to ground later.</w:t>
      </w:r>
    </w:p>
    <w:p w14:paraId="60DC49D4" w14:textId="03AA1D41" w:rsidR="00CA206F" w:rsidRDefault="00414D31" w:rsidP="004C0AE6">
      <w:pPr>
        <w:ind w:firstLine="284"/>
        <w:rPr>
          <w:color w:val="000000" w:themeColor="text1"/>
        </w:rPr>
      </w:pPr>
      <w:r>
        <w:rPr>
          <w:noProof/>
        </w:rPr>
        <w:lastRenderedPageBreak/>
        <w:drawing>
          <wp:inline distT="0" distB="0" distL="0" distR="0" wp14:anchorId="13921572" wp14:editId="51B05CE8">
            <wp:extent cx="5760720" cy="1163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163320"/>
                    </a:xfrm>
                    <a:prstGeom prst="rect">
                      <a:avLst/>
                    </a:prstGeom>
                  </pic:spPr>
                </pic:pic>
              </a:graphicData>
            </a:graphic>
          </wp:inline>
        </w:drawing>
      </w:r>
    </w:p>
    <w:p w14:paraId="3B3DBD3F" w14:textId="157FED5D" w:rsidR="00D812D6" w:rsidRDefault="00D812D6" w:rsidP="00D812D6">
      <w:pPr>
        <w:ind w:firstLine="284"/>
        <w:rPr>
          <w:color w:val="000000" w:themeColor="text1"/>
        </w:rPr>
      </w:pPr>
      <w:r>
        <w:rPr>
          <w:color w:val="000000" w:themeColor="text1"/>
        </w:rPr>
        <w:t xml:space="preserve">Click the </w:t>
      </w:r>
      <w:r>
        <w:rPr>
          <w:b/>
          <w:i/>
          <w:color w:val="000000" w:themeColor="text1"/>
        </w:rPr>
        <w:t>Surge</w:t>
      </w:r>
      <w:r>
        <w:rPr>
          <w:color w:val="000000" w:themeColor="text1"/>
        </w:rPr>
        <w:t xml:space="preserve"> tab, and fill it out as follows. This puts a stroke to S1 of the middle tower.</w:t>
      </w:r>
    </w:p>
    <w:p w14:paraId="67C1CEB1" w14:textId="05D17166" w:rsidR="00176EDE" w:rsidRDefault="00176EDE" w:rsidP="00D812D6">
      <w:pPr>
        <w:ind w:firstLine="284"/>
        <w:rPr>
          <w:color w:val="000000" w:themeColor="text1"/>
        </w:rPr>
      </w:pPr>
      <w:r>
        <w:rPr>
          <w:noProof/>
        </w:rPr>
        <w:drawing>
          <wp:inline distT="0" distB="0" distL="0" distR="0" wp14:anchorId="1C215F2D" wp14:editId="2B4A1EB4">
            <wp:extent cx="5760720" cy="1144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44905"/>
                    </a:xfrm>
                    <a:prstGeom prst="rect">
                      <a:avLst/>
                    </a:prstGeom>
                  </pic:spPr>
                </pic:pic>
              </a:graphicData>
            </a:graphic>
          </wp:inline>
        </w:drawing>
      </w:r>
    </w:p>
    <w:p w14:paraId="5455D20E" w14:textId="6695BDD4" w:rsidR="00176EDE" w:rsidRDefault="00176EDE" w:rsidP="00176EDE">
      <w:pPr>
        <w:ind w:firstLine="284"/>
        <w:rPr>
          <w:color w:val="000000" w:themeColor="text1"/>
        </w:rPr>
      </w:pPr>
      <w:r>
        <w:rPr>
          <w:color w:val="000000" w:themeColor="text1"/>
        </w:rPr>
        <w:t xml:space="preserve">Click the </w:t>
      </w:r>
      <w:r>
        <w:rPr>
          <w:b/>
          <w:i/>
          <w:color w:val="000000" w:themeColor="text1"/>
        </w:rPr>
        <w:t>LPM</w:t>
      </w:r>
      <w:r>
        <w:rPr>
          <w:color w:val="000000" w:themeColor="text1"/>
        </w:rPr>
        <w:t xml:space="preserve"> tab, and fill it out as follows. This puts </w:t>
      </w:r>
      <w:r w:rsidR="00002F9D">
        <w:rPr>
          <w:color w:val="000000" w:themeColor="text1"/>
        </w:rPr>
        <w:t>insulation of 147</w:t>
      </w:r>
      <w:r w:rsidR="005002B3">
        <w:rPr>
          <w:color w:val="000000" w:themeColor="text1"/>
        </w:rPr>
        <w:t>0-kV CFO (i.e. strike distance over insulators of 3 m) on each phase. Time-dependence is represented in default parameters for the leader progression model</w:t>
      </w:r>
      <w:r>
        <w:rPr>
          <w:color w:val="000000" w:themeColor="text1"/>
        </w:rPr>
        <w:t>.</w:t>
      </w:r>
    </w:p>
    <w:p w14:paraId="02CD27BB" w14:textId="155A6575" w:rsidR="005002B3" w:rsidRDefault="005002B3" w:rsidP="00176EDE">
      <w:pPr>
        <w:ind w:firstLine="284"/>
        <w:rPr>
          <w:color w:val="000000" w:themeColor="text1"/>
        </w:rPr>
      </w:pPr>
      <w:r>
        <w:rPr>
          <w:noProof/>
        </w:rPr>
        <w:drawing>
          <wp:inline distT="0" distB="0" distL="0" distR="0" wp14:anchorId="47F3033C" wp14:editId="707AA134">
            <wp:extent cx="5760720" cy="1169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69670"/>
                    </a:xfrm>
                    <a:prstGeom prst="rect">
                      <a:avLst/>
                    </a:prstGeom>
                  </pic:spPr>
                </pic:pic>
              </a:graphicData>
            </a:graphic>
          </wp:inline>
        </w:drawing>
      </w:r>
    </w:p>
    <w:p w14:paraId="4EF80B2E" w14:textId="73A203B5" w:rsidR="00176EDE" w:rsidRDefault="00BA755C" w:rsidP="00D812D6">
      <w:pPr>
        <w:ind w:firstLine="284"/>
        <w:rPr>
          <w:color w:val="000000" w:themeColor="text1"/>
        </w:rPr>
      </w:pPr>
      <w:r>
        <w:rPr>
          <w:color w:val="000000" w:themeColor="text1"/>
        </w:rPr>
        <w:t xml:space="preserve">Click the </w:t>
      </w:r>
      <w:r>
        <w:rPr>
          <w:b/>
          <w:i/>
          <w:color w:val="000000" w:themeColor="text1"/>
        </w:rPr>
        <w:t>Meter</w:t>
      </w:r>
      <w:r>
        <w:rPr>
          <w:color w:val="000000" w:themeColor="text1"/>
        </w:rPr>
        <w:t xml:space="preserve"> tab, and fill it out as follows. This requests voltage plots across each phase insulator, and from tower top to remote g</w:t>
      </w:r>
      <w:r w:rsidR="00002F9D">
        <w:rPr>
          <w:color w:val="000000" w:themeColor="text1"/>
        </w:rPr>
        <w:t>round, just at the struck tower #6, which is the middle one of 11 towers.</w:t>
      </w:r>
    </w:p>
    <w:p w14:paraId="147D887E" w14:textId="20C57279" w:rsidR="000F0617" w:rsidRDefault="000F0617" w:rsidP="00D812D6">
      <w:pPr>
        <w:ind w:firstLine="284"/>
        <w:rPr>
          <w:color w:val="000000" w:themeColor="text1"/>
        </w:rPr>
      </w:pPr>
      <w:r>
        <w:rPr>
          <w:noProof/>
        </w:rPr>
        <w:drawing>
          <wp:inline distT="0" distB="0" distL="0" distR="0" wp14:anchorId="4D6D2EF9" wp14:editId="269F3911">
            <wp:extent cx="5760720" cy="11722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172210"/>
                    </a:xfrm>
                    <a:prstGeom prst="rect">
                      <a:avLst/>
                    </a:prstGeom>
                  </pic:spPr>
                </pic:pic>
              </a:graphicData>
            </a:graphic>
          </wp:inline>
        </w:drawing>
      </w:r>
    </w:p>
    <w:p w14:paraId="51C55D2E" w14:textId="386B6C60" w:rsidR="000F0617" w:rsidRPr="000F0617" w:rsidRDefault="000F0617" w:rsidP="00D812D6">
      <w:pPr>
        <w:ind w:firstLine="284"/>
        <w:rPr>
          <w:color w:val="000000" w:themeColor="text1"/>
        </w:rPr>
      </w:pPr>
      <w:r>
        <w:rPr>
          <w:color w:val="000000" w:themeColor="text1"/>
        </w:rPr>
        <w:t xml:space="preserve">We’re not using line arresters now, but we still need to connect S1 and S2 at all towers. Go back to the </w:t>
      </w:r>
      <w:r>
        <w:rPr>
          <w:b/>
          <w:i/>
          <w:color w:val="000000" w:themeColor="text1"/>
        </w:rPr>
        <w:t>Project</w:t>
      </w:r>
      <w:r>
        <w:rPr>
          <w:color w:val="000000" w:themeColor="text1"/>
        </w:rPr>
        <w:t xml:space="preserve"> tab and request the </w:t>
      </w:r>
      <w:r>
        <w:rPr>
          <w:b/>
          <w:i/>
          <w:color w:val="000000" w:themeColor="text1"/>
        </w:rPr>
        <w:t>Full Interface</w:t>
      </w:r>
      <w:r>
        <w:rPr>
          <w:color w:val="000000" w:themeColor="text1"/>
        </w:rPr>
        <w:t xml:space="preserve"> by clicking the radio button.</w:t>
      </w:r>
    </w:p>
    <w:p w14:paraId="1077C282" w14:textId="30CEFB59" w:rsidR="000F0617" w:rsidRDefault="000F0617" w:rsidP="00D812D6">
      <w:pPr>
        <w:ind w:firstLine="284"/>
        <w:rPr>
          <w:color w:val="000000" w:themeColor="text1"/>
        </w:rPr>
      </w:pPr>
      <w:r>
        <w:rPr>
          <w:noProof/>
        </w:rPr>
        <w:drawing>
          <wp:inline distT="0" distB="0" distL="0" distR="0" wp14:anchorId="004F1ED5" wp14:editId="5665EC69">
            <wp:extent cx="5760720" cy="11518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51890"/>
                    </a:xfrm>
                    <a:prstGeom prst="rect">
                      <a:avLst/>
                    </a:prstGeom>
                  </pic:spPr>
                </pic:pic>
              </a:graphicData>
            </a:graphic>
          </wp:inline>
        </w:drawing>
      </w:r>
    </w:p>
    <w:p w14:paraId="0F8D6518" w14:textId="2222FC39" w:rsidR="000F0617" w:rsidRDefault="000F0617" w:rsidP="00D812D6">
      <w:pPr>
        <w:ind w:firstLine="284"/>
        <w:rPr>
          <w:color w:val="000000" w:themeColor="text1"/>
        </w:rPr>
      </w:pPr>
      <w:r>
        <w:rPr>
          <w:color w:val="000000" w:themeColor="text1"/>
        </w:rPr>
        <w:t xml:space="preserve">Click the </w:t>
      </w:r>
      <w:r>
        <w:rPr>
          <w:b/>
          <w:i/>
          <w:color w:val="000000" w:themeColor="text1"/>
        </w:rPr>
        <w:t>Resistor</w:t>
      </w:r>
      <w:r>
        <w:rPr>
          <w:color w:val="000000" w:themeColor="text1"/>
        </w:rPr>
        <w:t xml:space="preserve"> tab and fill it out as follows. This </w:t>
      </w:r>
      <w:r w:rsidR="00744B3E">
        <w:rPr>
          <w:color w:val="000000" w:themeColor="text1"/>
        </w:rPr>
        <w:t>1-m</w:t>
      </w:r>
      <w:r w:rsidR="00744B3E" w:rsidRPr="00744B3E">
        <w:rPr>
          <w:rFonts w:ascii="Symbol" w:hAnsi="Symbol"/>
          <w:color w:val="000000" w:themeColor="text1"/>
        </w:rPr>
        <w:t></w:t>
      </w:r>
      <w:r w:rsidR="00744B3E">
        <w:rPr>
          <w:color w:val="000000" w:themeColor="text1"/>
        </w:rPr>
        <w:t xml:space="preserve"> resistor </w:t>
      </w:r>
      <w:r>
        <w:rPr>
          <w:color w:val="000000" w:themeColor="text1"/>
        </w:rPr>
        <w:t>connects S1 and S2.</w:t>
      </w:r>
    </w:p>
    <w:p w14:paraId="3BCE8093" w14:textId="68D404F0" w:rsidR="000F0617" w:rsidRDefault="000F0617" w:rsidP="00D812D6">
      <w:pPr>
        <w:ind w:firstLine="284"/>
        <w:rPr>
          <w:color w:val="000000" w:themeColor="text1"/>
        </w:rPr>
      </w:pPr>
      <w:r>
        <w:rPr>
          <w:noProof/>
        </w:rPr>
        <w:lastRenderedPageBreak/>
        <w:drawing>
          <wp:inline distT="0" distB="0" distL="0" distR="0" wp14:anchorId="1C374DE3" wp14:editId="47FAD0B2">
            <wp:extent cx="5760720" cy="1164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64590"/>
                    </a:xfrm>
                    <a:prstGeom prst="rect">
                      <a:avLst/>
                    </a:prstGeom>
                  </pic:spPr>
                </pic:pic>
              </a:graphicData>
            </a:graphic>
          </wp:inline>
        </w:drawing>
      </w:r>
    </w:p>
    <w:p w14:paraId="28CE5A75" w14:textId="47E19A51" w:rsidR="000F0617" w:rsidRDefault="000F0617" w:rsidP="00D812D6">
      <w:pPr>
        <w:ind w:firstLine="284"/>
        <w:rPr>
          <w:color w:val="000000" w:themeColor="text1"/>
        </w:rPr>
      </w:pPr>
      <w:r>
        <w:rPr>
          <w:color w:val="000000" w:themeColor="text1"/>
        </w:rPr>
        <w:t xml:space="preserve">This is a good time to save your work, i.e. before attempting your first simulation. Click the </w:t>
      </w:r>
      <w:r>
        <w:rPr>
          <w:b/>
          <w:i/>
          <w:color w:val="000000" w:themeColor="text1"/>
        </w:rPr>
        <w:t>Project</w:t>
      </w:r>
      <w:r>
        <w:rPr>
          <w:b/>
          <w:color w:val="000000" w:themeColor="text1"/>
        </w:rPr>
        <w:t xml:space="preserve"> </w:t>
      </w:r>
      <w:r>
        <w:rPr>
          <w:color w:val="000000" w:themeColor="text1"/>
        </w:rPr>
        <w:t xml:space="preserve">tab again, </w:t>
      </w:r>
      <w:r w:rsidR="001322FD">
        <w:rPr>
          <w:color w:val="000000" w:themeColor="text1"/>
        </w:rPr>
        <w:t xml:space="preserve">Click the </w:t>
      </w:r>
      <w:r w:rsidR="001322FD">
        <w:rPr>
          <w:b/>
          <w:i/>
          <w:color w:val="000000" w:themeColor="text1"/>
        </w:rPr>
        <w:t>Save</w:t>
      </w:r>
      <w:r w:rsidR="001322FD">
        <w:rPr>
          <w:color w:val="000000" w:themeColor="text1"/>
        </w:rPr>
        <w:t xml:space="preserve"> button and save the project to a file name and path of your choice.</w:t>
      </w:r>
    </w:p>
    <w:p w14:paraId="34E9E932" w14:textId="6597F339" w:rsidR="001322FD" w:rsidRDefault="001322FD" w:rsidP="00D812D6">
      <w:pPr>
        <w:ind w:firstLine="284"/>
        <w:rPr>
          <w:color w:val="000000" w:themeColor="text1"/>
        </w:rPr>
      </w:pPr>
      <w:r>
        <w:rPr>
          <w:noProof/>
        </w:rPr>
        <w:drawing>
          <wp:inline distT="0" distB="0" distL="0" distR="0" wp14:anchorId="6D0828C5" wp14:editId="3E65CA6E">
            <wp:extent cx="5760720" cy="16313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631315"/>
                    </a:xfrm>
                    <a:prstGeom prst="rect">
                      <a:avLst/>
                    </a:prstGeom>
                  </pic:spPr>
                </pic:pic>
              </a:graphicData>
            </a:graphic>
          </wp:inline>
        </w:drawing>
      </w:r>
    </w:p>
    <w:p w14:paraId="115AD06A" w14:textId="1BD16897" w:rsidR="001322FD" w:rsidRDefault="001322FD" w:rsidP="00D812D6">
      <w:pPr>
        <w:ind w:firstLine="284"/>
        <w:rPr>
          <w:color w:val="000000" w:themeColor="text1"/>
        </w:rPr>
      </w:pPr>
      <w:r>
        <w:rPr>
          <w:color w:val="000000" w:themeColor="text1"/>
        </w:rPr>
        <w:t xml:space="preserve">Now find the </w:t>
      </w:r>
      <w:r>
        <w:rPr>
          <w:b/>
          <w:i/>
          <w:color w:val="000000" w:themeColor="text1"/>
        </w:rPr>
        <w:t>Phase View</w:t>
      </w:r>
      <w:r>
        <w:rPr>
          <w:color w:val="000000" w:themeColor="text1"/>
        </w:rPr>
        <w:t xml:space="preserve"> window and click </w:t>
      </w:r>
      <w:r>
        <w:rPr>
          <w:b/>
          <w:i/>
          <w:color w:val="000000" w:themeColor="text1"/>
        </w:rPr>
        <w:t>Update Coordinates</w:t>
      </w:r>
      <w:r>
        <w:rPr>
          <w:color w:val="000000" w:themeColor="text1"/>
        </w:rPr>
        <w:t xml:space="preserve">. It should now show your input conductor coordinates at the tower. This line is not perfectly shielded at 15 kA, as indicated by some exposure of the red arcs outside the green shielding envelope. Our critical current for shielding failures is yet to be determined; it may not be 15 kA. </w:t>
      </w:r>
    </w:p>
    <w:p w14:paraId="16EEF056" w14:textId="483D4B8E" w:rsidR="001322FD" w:rsidRDefault="001322FD" w:rsidP="00D812D6">
      <w:pPr>
        <w:ind w:firstLine="284"/>
        <w:rPr>
          <w:color w:val="000000" w:themeColor="text1"/>
        </w:rPr>
      </w:pPr>
      <w:r>
        <w:rPr>
          <w:noProof/>
        </w:rPr>
        <w:drawing>
          <wp:inline distT="0" distB="0" distL="0" distR="0" wp14:anchorId="78A8B912" wp14:editId="7BD0EBA2">
            <wp:extent cx="5691229" cy="3781453"/>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1229" cy="3781453"/>
                    </a:xfrm>
                    <a:prstGeom prst="rect">
                      <a:avLst/>
                    </a:prstGeom>
                  </pic:spPr>
                </pic:pic>
              </a:graphicData>
            </a:graphic>
          </wp:inline>
        </w:drawing>
      </w:r>
    </w:p>
    <w:p w14:paraId="72885D93" w14:textId="1635FD3E" w:rsidR="001322FD" w:rsidRPr="001322FD" w:rsidRDefault="001322FD" w:rsidP="00D812D6">
      <w:pPr>
        <w:ind w:firstLine="284"/>
        <w:rPr>
          <w:color w:val="000000" w:themeColor="text1"/>
        </w:rPr>
      </w:pPr>
      <w:r>
        <w:rPr>
          <w:color w:val="000000" w:themeColor="text1"/>
        </w:rPr>
        <w:lastRenderedPageBreak/>
        <w:t xml:space="preserve">For illustrative purposes, put a tree line on the left-hand side of the line. Change the </w:t>
      </w:r>
      <w:r>
        <w:rPr>
          <w:b/>
          <w:i/>
          <w:color w:val="000000" w:themeColor="text1"/>
        </w:rPr>
        <w:t>Object Left</w:t>
      </w:r>
      <w:r>
        <w:rPr>
          <w:color w:val="000000" w:themeColor="text1"/>
        </w:rPr>
        <w:t xml:space="preserve"> </w:t>
      </w:r>
      <w:r w:rsidR="00744B3E">
        <w:rPr>
          <w:color w:val="000000" w:themeColor="text1"/>
        </w:rPr>
        <w:t xml:space="preserve">x and y coordinates to -20 and </w:t>
      </w:r>
      <w:r>
        <w:rPr>
          <w:color w:val="000000" w:themeColor="text1"/>
        </w:rPr>
        <w:t xml:space="preserve">30, respectively, then click </w:t>
      </w:r>
      <w:r w:rsidR="00744B3E">
        <w:rPr>
          <w:b/>
          <w:i/>
          <w:color w:val="000000" w:themeColor="text1"/>
        </w:rPr>
        <w:t>Update v</w:t>
      </w:r>
      <w:r>
        <w:rPr>
          <w:b/>
          <w:i/>
          <w:color w:val="000000" w:themeColor="text1"/>
        </w:rPr>
        <w:t>iew</w:t>
      </w:r>
      <w:r>
        <w:rPr>
          <w:i/>
          <w:color w:val="000000" w:themeColor="text1"/>
        </w:rPr>
        <w:t xml:space="preserve">. </w:t>
      </w:r>
      <w:r>
        <w:rPr>
          <w:color w:val="000000" w:themeColor="text1"/>
        </w:rPr>
        <w:t>Now the left side is shielded from strokes 15 kA or greater.</w:t>
      </w:r>
    </w:p>
    <w:p w14:paraId="1E4CDFEB" w14:textId="4CB05C63" w:rsidR="001322FD" w:rsidRDefault="001322FD" w:rsidP="00D812D6">
      <w:pPr>
        <w:ind w:firstLine="284"/>
        <w:rPr>
          <w:color w:val="000000" w:themeColor="text1"/>
        </w:rPr>
      </w:pPr>
      <w:r>
        <w:rPr>
          <w:noProof/>
        </w:rPr>
        <w:drawing>
          <wp:inline distT="0" distB="0" distL="0" distR="0" wp14:anchorId="370AF5F1" wp14:editId="564CC014">
            <wp:extent cx="5760720" cy="271653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716530"/>
                    </a:xfrm>
                    <a:prstGeom prst="rect">
                      <a:avLst/>
                    </a:prstGeom>
                  </pic:spPr>
                </pic:pic>
              </a:graphicData>
            </a:graphic>
          </wp:inline>
        </w:drawing>
      </w:r>
    </w:p>
    <w:p w14:paraId="24D52EC3" w14:textId="1D99C506" w:rsidR="00A77FF5" w:rsidRDefault="00A77FF5" w:rsidP="00D812D6">
      <w:pPr>
        <w:ind w:firstLine="284"/>
        <w:rPr>
          <w:color w:val="000000" w:themeColor="text1"/>
        </w:rPr>
      </w:pPr>
      <w:r>
        <w:rPr>
          <w:color w:val="000000" w:themeColor="text1"/>
        </w:rPr>
        <w:t xml:space="preserve">Back on the </w:t>
      </w:r>
      <w:proofErr w:type="spellStart"/>
      <w:r w:rsidR="0005651D" w:rsidRPr="0005651D">
        <w:rPr>
          <w:b/>
          <w:i/>
          <w:color w:val="000000" w:themeColor="text1"/>
        </w:rPr>
        <w:t>OpenETran</w:t>
      </w:r>
      <w:proofErr w:type="spellEnd"/>
      <w:r>
        <w:rPr>
          <w:color w:val="000000" w:themeColor="text1"/>
        </w:rPr>
        <w:t xml:space="preserve"> window, click </w:t>
      </w:r>
      <w:r>
        <w:rPr>
          <w:b/>
          <w:i/>
          <w:color w:val="000000" w:themeColor="text1"/>
        </w:rPr>
        <w:t>Simulate</w:t>
      </w:r>
      <w:r>
        <w:rPr>
          <w:color w:val="000000" w:themeColor="text1"/>
        </w:rPr>
        <w:t xml:space="preserve"> and then the </w:t>
      </w:r>
      <w:r>
        <w:rPr>
          <w:b/>
          <w:i/>
          <w:color w:val="000000" w:themeColor="text1"/>
        </w:rPr>
        <w:t>Simulate!</w:t>
      </w:r>
      <w:r>
        <w:rPr>
          <w:color w:val="000000" w:themeColor="text1"/>
        </w:rPr>
        <w:t xml:space="preserve"> Button. </w:t>
      </w:r>
      <w:r w:rsidR="0005651D">
        <w:rPr>
          <w:color w:val="000000" w:themeColor="text1"/>
        </w:rPr>
        <w:t xml:space="preserve">After a couple of seconds, you see the following requested voltage plots at tower 6 for a 100-kA stroke. The peak tower voltage is about 1280 kV. It’s higher than 3.622 </w:t>
      </w:r>
      <w:r w:rsidR="0005651D" w:rsidRPr="00AF7FF8">
        <w:rPr>
          <w:rFonts w:ascii="Symbol" w:hAnsi="Symbol"/>
          <w:color w:val="000000" w:themeColor="text1"/>
        </w:rPr>
        <w:t></w:t>
      </w:r>
      <w:r w:rsidR="0005651D">
        <w:rPr>
          <w:color w:val="000000" w:themeColor="text1"/>
        </w:rPr>
        <w:t xml:space="preserve"> x 100 kA</w:t>
      </w:r>
      <w:r w:rsidR="00AF7FF8">
        <w:rPr>
          <w:color w:val="000000" w:themeColor="text1"/>
        </w:rPr>
        <w:t>,</w:t>
      </w:r>
      <w:r w:rsidR="0005651D">
        <w:rPr>
          <w:color w:val="000000" w:themeColor="text1"/>
        </w:rPr>
        <w:t xml:space="preserve"> due to tower inductance and </w:t>
      </w:r>
      <w:r w:rsidR="00AF7FF8">
        <w:rPr>
          <w:color w:val="000000" w:themeColor="text1"/>
        </w:rPr>
        <w:t xml:space="preserve">nonlinear frequency dependence in the counterpoise. However, the worst peak insulator </w:t>
      </w:r>
      <w:proofErr w:type="spellStart"/>
      <w:r w:rsidR="00AF7FF8">
        <w:rPr>
          <w:color w:val="000000" w:themeColor="text1"/>
        </w:rPr>
        <w:t>votlages</w:t>
      </w:r>
      <w:proofErr w:type="spellEnd"/>
      <w:r w:rsidR="00AF7FF8">
        <w:rPr>
          <w:color w:val="000000" w:themeColor="text1"/>
        </w:rPr>
        <w:t xml:space="preserve"> are -865 kV on the two outer phases, less than the 1470-kV CFO, so flashover would not be expected. Plot data was saved in a CSV file if you wish to do further processing in a program like Excel or MATLAB. </w:t>
      </w:r>
    </w:p>
    <w:p w14:paraId="2EBBB3EE" w14:textId="63BBB629" w:rsidR="00B65E5C" w:rsidRDefault="00B65E5C" w:rsidP="00D812D6">
      <w:pPr>
        <w:ind w:firstLine="284"/>
        <w:rPr>
          <w:color w:val="000000" w:themeColor="text1"/>
        </w:rPr>
      </w:pPr>
      <w:proofErr w:type="spellStart"/>
      <w:r>
        <w:rPr>
          <w:noProof/>
        </w:rPr>
        <w:drawing>
          <wp:inline distT="0" distB="0" distL="0" distR="0" wp14:anchorId="1B9A9D71" wp14:editId="66750C48">
            <wp:extent cx="5760720" cy="3496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496310"/>
                    </a:xfrm>
                    <a:prstGeom prst="rect">
                      <a:avLst/>
                    </a:prstGeom>
                  </pic:spPr>
                </pic:pic>
              </a:graphicData>
            </a:graphic>
          </wp:inline>
        </w:drawing>
      </w:r>
    </w:p>
    <w:p w14:paraId="70B81C7C" w14:textId="40C67767" w:rsidR="009E15E0" w:rsidRDefault="007A3D54" w:rsidP="009E15E0">
      <w:pPr>
        <w:ind w:firstLine="284"/>
        <w:rPr>
          <w:color w:val="000000" w:themeColor="text1"/>
        </w:rPr>
      </w:pPr>
      <w:proofErr w:type="spellEnd"/>
      <w:r>
        <w:rPr>
          <w:color w:val="000000" w:themeColor="text1"/>
        </w:rPr>
        <w:t xml:space="preserve">Close the plot window using the </w:t>
      </w:r>
      <w:r w:rsidRPr="007A3D54">
        <w:rPr>
          <w:b/>
          <w:i/>
          <w:color w:val="000000" w:themeColor="text1"/>
        </w:rPr>
        <w:t>X</w:t>
      </w:r>
      <w:r>
        <w:rPr>
          <w:color w:val="000000" w:themeColor="text1"/>
        </w:rPr>
        <w:t xml:space="preserve"> in its upper right corner. </w:t>
      </w:r>
      <w:r w:rsidR="009E15E0">
        <w:rPr>
          <w:color w:val="000000" w:themeColor="text1"/>
        </w:rPr>
        <w:t xml:space="preserve">Back </w:t>
      </w:r>
      <w:proofErr w:type="spellStart"/>
      <w:r w:rsidRPr="007A3D54">
        <w:rPr>
          <w:b/>
          <w:i/>
          <w:color w:val="000000" w:themeColor="text1"/>
        </w:rPr>
        <w:t>OpenETran</w:t>
      </w:r>
      <w:proofErr w:type="spellEnd"/>
      <w:r w:rsidR="009E15E0">
        <w:rPr>
          <w:color w:val="000000" w:themeColor="text1"/>
        </w:rPr>
        <w:t xml:space="preserve"> window, c</w:t>
      </w:r>
      <w:r>
        <w:rPr>
          <w:color w:val="000000" w:themeColor="text1"/>
        </w:rPr>
        <w:t xml:space="preserve">hange the simulation control parameters as shown in the </w:t>
      </w:r>
      <w:r w:rsidRPr="007A3D54">
        <w:rPr>
          <w:b/>
          <w:color w:val="FF0000"/>
        </w:rPr>
        <w:t>red</w:t>
      </w:r>
      <w:r>
        <w:rPr>
          <w:color w:val="000000" w:themeColor="text1"/>
        </w:rPr>
        <w:t xml:space="preserve"> highlighted area. This will run the program to </w:t>
      </w:r>
      <w:r>
        <w:rPr>
          <w:color w:val="000000" w:themeColor="text1"/>
        </w:rPr>
        <w:lastRenderedPageBreak/>
        <w:t>determine critical currents, which just barely cause flashover, to any of the five conductors if struck at tower 6. You need to click the radio button for “Critical current iteration simulation” to see three additional input fields, each of which contains an input prompt. When ready, click</w:t>
      </w:r>
      <w:r w:rsidR="009E15E0">
        <w:rPr>
          <w:color w:val="000000" w:themeColor="text1"/>
        </w:rPr>
        <w:t xml:space="preserve"> the </w:t>
      </w:r>
      <w:r w:rsidR="009E15E0">
        <w:rPr>
          <w:b/>
          <w:i/>
          <w:color w:val="000000" w:themeColor="text1"/>
        </w:rPr>
        <w:t>Simulate!</w:t>
      </w:r>
      <w:r w:rsidR="009E15E0">
        <w:rPr>
          <w:color w:val="000000" w:themeColor="text1"/>
        </w:rPr>
        <w:t xml:space="preserve"> Button. </w:t>
      </w:r>
    </w:p>
    <w:p w14:paraId="3657EC9D" w14:textId="57539607" w:rsidR="009E15E0" w:rsidRPr="00A77FF5" w:rsidRDefault="00016585" w:rsidP="00D812D6">
      <w:pPr>
        <w:ind w:firstLine="284"/>
        <w:rPr>
          <w:color w:val="000000" w:themeColor="text1"/>
        </w:rPr>
      </w:pPr>
      <w:r>
        <w:rPr>
          <w:noProof/>
        </w:rPr>
        <w:drawing>
          <wp:inline distT="0" distB="0" distL="0" distR="0" wp14:anchorId="3CAF7AB6" wp14:editId="616364AA">
            <wp:extent cx="5760720" cy="3173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173095"/>
                    </a:xfrm>
                    <a:prstGeom prst="rect">
                      <a:avLst/>
                    </a:prstGeom>
                  </pic:spPr>
                </pic:pic>
              </a:graphicData>
            </a:graphic>
          </wp:inline>
        </w:drawing>
      </w:r>
    </w:p>
    <w:p w14:paraId="76FDBA5E" w14:textId="3AEA7DD5" w:rsidR="00016585" w:rsidRDefault="003F0F72" w:rsidP="00016585">
      <w:pPr>
        <w:ind w:firstLine="284"/>
        <w:rPr>
          <w:color w:val="000000" w:themeColor="text1"/>
        </w:rPr>
      </w:pPr>
      <w:r>
        <w:rPr>
          <w:color w:val="000000" w:themeColor="text1"/>
        </w:rPr>
        <w:t>Within a few seconds, you’ll see the critical currents displayed in the Python output console, as shown below. These are all approximately 96 kA for the three phase conductors, because they have the same CFO and similar coupling factors. The critical currents are nearly equal, at 408 kA, for the two shield wires that are connected together. These critical currents are written to a text file, so you don’t need to copy them down. However, the Python output console is where any error messages from the transient simulation engine will appear, so please check it if a simulation fails to produce results.</w:t>
      </w:r>
      <w:r w:rsidR="00016585">
        <w:rPr>
          <w:color w:val="000000" w:themeColor="text1"/>
        </w:rPr>
        <w:t xml:space="preserve"> </w:t>
      </w:r>
    </w:p>
    <w:p w14:paraId="47C20D40" w14:textId="26D9ED08" w:rsidR="00016585" w:rsidRDefault="00016585" w:rsidP="00016585">
      <w:pPr>
        <w:ind w:firstLine="284"/>
        <w:rPr>
          <w:color w:val="000000" w:themeColor="text1"/>
        </w:rPr>
      </w:pPr>
      <w:r>
        <w:rPr>
          <w:noProof/>
        </w:rPr>
        <w:drawing>
          <wp:inline distT="0" distB="0" distL="0" distR="0" wp14:anchorId="71FE82BA" wp14:editId="4BEA05EB">
            <wp:extent cx="2557481" cy="1104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57481" cy="1104908"/>
                    </a:xfrm>
                    <a:prstGeom prst="rect">
                      <a:avLst/>
                    </a:prstGeom>
                  </pic:spPr>
                </pic:pic>
              </a:graphicData>
            </a:graphic>
          </wp:inline>
        </w:drawing>
      </w:r>
    </w:p>
    <w:p w14:paraId="11670B60" w14:textId="3F02847B" w:rsidR="00016585" w:rsidRDefault="003F0F72" w:rsidP="00016585">
      <w:pPr>
        <w:ind w:firstLine="284"/>
        <w:rPr>
          <w:color w:val="000000" w:themeColor="text1"/>
        </w:rPr>
      </w:pPr>
      <w:r>
        <w:rPr>
          <w:color w:val="000000" w:themeColor="text1"/>
        </w:rPr>
        <w:t xml:space="preserve">Back at the </w:t>
      </w:r>
      <w:r w:rsidRPr="00FB2D23">
        <w:rPr>
          <w:b/>
          <w:i/>
          <w:color w:val="000000" w:themeColor="text1"/>
        </w:rPr>
        <w:t>Phase View</w:t>
      </w:r>
      <w:r>
        <w:rPr>
          <w:color w:val="000000" w:themeColor="text1"/>
        </w:rPr>
        <w:t xml:space="preserve"> window, we can use the critical currents to calculation line flashover rate. Click the </w:t>
      </w:r>
      <w:r w:rsidRPr="00FB2D23">
        <w:rPr>
          <w:b/>
          <w:i/>
          <w:color w:val="000000" w:themeColor="text1"/>
        </w:rPr>
        <w:t>Flashover Rate</w:t>
      </w:r>
      <w:r>
        <w:rPr>
          <w:color w:val="000000" w:themeColor="text1"/>
        </w:rPr>
        <w:t xml:space="preserve"> button, and then navigate to your critical current file, as shown below.</w:t>
      </w:r>
    </w:p>
    <w:p w14:paraId="1A2EC874" w14:textId="64335BEA" w:rsidR="00016585" w:rsidRDefault="00016585" w:rsidP="00016585">
      <w:pPr>
        <w:ind w:firstLine="284"/>
        <w:rPr>
          <w:color w:val="000000" w:themeColor="text1"/>
        </w:rPr>
      </w:pPr>
      <w:r>
        <w:rPr>
          <w:noProof/>
        </w:rPr>
        <w:lastRenderedPageBreak/>
        <w:drawing>
          <wp:inline distT="0" distB="0" distL="0" distR="0" wp14:anchorId="35207411" wp14:editId="34E7372D">
            <wp:extent cx="5760720" cy="3650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650615"/>
                    </a:xfrm>
                    <a:prstGeom prst="rect">
                      <a:avLst/>
                    </a:prstGeom>
                  </pic:spPr>
                </pic:pic>
              </a:graphicData>
            </a:graphic>
          </wp:inline>
        </w:drawing>
      </w:r>
    </w:p>
    <w:p w14:paraId="215A0C6E" w14:textId="214A2136" w:rsidR="00016585" w:rsidRPr="00FB2D23" w:rsidRDefault="00FB2D23" w:rsidP="00016585">
      <w:pPr>
        <w:ind w:firstLine="284"/>
        <w:rPr>
          <w:color w:val="000000" w:themeColor="text1"/>
        </w:rPr>
      </w:pPr>
      <w:r>
        <w:rPr>
          <w:color w:val="000000" w:themeColor="text1"/>
        </w:rPr>
        <w:t xml:space="preserve">Click </w:t>
      </w:r>
      <w:r>
        <w:rPr>
          <w:b/>
          <w:i/>
          <w:color w:val="000000" w:themeColor="text1"/>
        </w:rPr>
        <w:t>Open</w:t>
      </w:r>
      <w:r>
        <w:rPr>
          <w:color w:val="000000" w:themeColor="text1"/>
        </w:rPr>
        <w:t xml:space="preserve"> in the file open dialog, and then see an estimated flashover rate of 0.42 per year for the given parameters.</w:t>
      </w:r>
    </w:p>
    <w:p w14:paraId="6C537F4A" w14:textId="4ED46D7B" w:rsidR="00016585" w:rsidRDefault="00D8743E" w:rsidP="00016585">
      <w:pPr>
        <w:ind w:firstLine="284"/>
        <w:rPr>
          <w:color w:val="000000" w:themeColor="text1"/>
        </w:rPr>
      </w:pPr>
      <w:r>
        <w:rPr>
          <w:noProof/>
        </w:rPr>
        <w:drawing>
          <wp:inline distT="0" distB="0" distL="0" distR="0" wp14:anchorId="4678F441" wp14:editId="293F4306">
            <wp:extent cx="5686467" cy="18907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86467" cy="1890726"/>
                    </a:xfrm>
                    <a:prstGeom prst="rect">
                      <a:avLst/>
                    </a:prstGeom>
                  </pic:spPr>
                </pic:pic>
              </a:graphicData>
            </a:graphic>
          </wp:inline>
        </w:drawing>
      </w:r>
    </w:p>
    <w:p w14:paraId="62CEC2C5" w14:textId="0FE67B2D" w:rsidR="00976480" w:rsidRPr="00E92408" w:rsidRDefault="00BB78AF" w:rsidP="00976480">
      <w:pPr>
        <w:pStyle w:val="Heading1"/>
      </w:pPr>
      <w:bookmarkStart w:id="4" w:name="_Toc490999420"/>
      <w:r>
        <w:t>15-kV Distribution Line</w:t>
      </w:r>
      <w:bookmarkEnd w:id="4"/>
    </w:p>
    <w:p w14:paraId="6CE0E346" w14:textId="0EB0AC34" w:rsidR="00F17F81" w:rsidRPr="00E92408" w:rsidRDefault="00187DF2" w:rsidP="00A105F7">
      <w:pPr>
        <w:ind w:firstLine="284"/>
      </w:pPr>
      <w:r>
        <w:t>To be completed, based on [2], with CFO-added.</w:t>
      </w:r>
    </w:p>
    <w:p w14:paraId="0A7BD3AB" w14:textId="32DC08BF" w:rsidR="00F17F81" w:rsidRPr="00E92408" w:rsidRDefault="00BB78AF" w:rsidP="00F17F81">
      <w:pPr>
        <w:pStyle w:val="Heading1"/>
      </w:pPr>
      <w:bookmarkStart w:id="5" w:name="_Toc490999421"/>
      <w:r>
        <w:t>35-kV Distribution Line</w:t>
      </w:r>
      <w:bookmarkEnd w:id="5"/>
    </w:p>
    <w:p w14:paraId="4B7403E3" w14:textId="063CF00C" w:rsidR="00F17F81" w:rsidRPr="00E92408" w:rsidRDefault="00187DF2" w:rsidP="00F17F81">
      <w:pPr>
        <w:ind w:firstLine="432"/>
      </w:pPr>
      <w:r>
        <w:t>To be completed, based on [2], with CFO-added</w:t>
      </w:r>
      <w:r w:rsidR="00E104C7" w:rsidRPr="00E92408">
        <w:t>.</w:t>
      </w:r>
    </w:p>
    <w:p w14:paraId="5C5B683E" w14:textId="328D59D5" w:rsidR="00D60532" w:rsidRPr="00E92408" w:rsidRDefault="00BB78AF" w:rsidP="0061033F">
      <w:pPr>
        <w:pStyle w:val="Heading1"/>
      </w:pPr>
      <w:bookmarkStart w:id="6" w:name="_Toc490999422"/>
      <w:r>
        <w:t>Double-Circuit Transmission Line</w:t>
      </w:r>
      <w:bookmarkEnd w:id="6"/>
    </w:p>
    <w:p w14:paraId="39BAF3A2" w14:textId="7D883218" w:rsidR="00CA5D9D" w:rsidRDefault="00187DF2" w:rsidP="00EF7B5C">
      <w:pPr>
        <w:ind w:firstLine="432"/>
      </w:pPr>
      <w:r>
        <w:t>To be completed, with shielding design of a double-circuit line in the GUI, extended to transient analysis in console mode</w:t>
      </w:r>
      <w:r w:rsidR="005245F4">
        <w:t>.</w:t>
      </w:r>
    </w:p>
    <w:p w14:paraId="5D505C5E" w14:textId="77777777" w:rsidR="00C016EC" w:rsidRDefault="00C016EC" w:rsidP="00C016EC">
      <w:pPr>
        <w:pStyle w:val="Heading1"/>
      </w:pPr>
      <w:bookmarkStart w:id="7" w:name="_Toc490999423"/>
      <w:r>
        <w:lastRenderedPageBreak/>
        <w:t>References</w:t>
      </w:r>
      <w:bookmarkEnd w:id="7"/>
    </w:p>
    <w:p w14:paraId="6EF46859" w14:textId="77777777" w:rsidR="00C016EC" w:rsidRDefault="00C016EC" w:rsidP="00C016EC">
      <w:pPr>
        <w:pStyle w:val="Default"/>
      </w:pPr>
    </w:p>
    <w:p w14:paraId="65695688" w14:textId="291EB103" w:rsidR="00C016EC" w:rsidRPr="00C016EC" w:rsidRDefault="00BB78AF" w:rsidP="00A7272F">
      <w:pPr>
        <w:pStyle w:val="Default"/>
        <w:numPr>
          <w:ilvl w:val="0"/>
          <w:numId w:val="39"/>
        </w:numPr>
        <w:rPr>
          <w:sz w:val="22"/>
          <w:szCs w:val="22"/>
          <w:lang w:val="en-GB"/>
        </w:rPr>
      </w:pPr>
      <w:r>
        <w:rPr>
          <w:sz w:val="22"/>
          <w:szCs w:val="22"/>
          <w:lang w:val="en-GB"/>
        </w:rPr>
        <w:t>IEEE Std. 1243-1997</w:t>
      </w:r>
      <w:r w:rsidRPr="00C016EC">
        <w:rPr>
          <w:sz w:val="22"/>
          <w:szCs w:val="22"/>
          <w:lang w:val="en-GB"/>
        </w:rPr>
        <w:t xml:space="preserve">, IEEE Guide for Improving the Lightning Performance of </w:t>
      </w:r>
      <w:r>
        <w:rPr>
          <w:sz w:val="22"/>
          <w:szCs w:val="22"/>
          <w:lang w:val="en-GB"/>
        </w:rPr>
        <w:t>Transmiss</w:t>
      </w:r>
      <w:r w:rsidRPr="00C016EC">
        <w:rPr>
          <w:sz w:val="22"/>
          <w:szCs w:val="22"/>
          <w:lang w:val="en-GB"/>
        </w:rPr>
        <w:t>ion Lines</w:t>
      </w:r>
      <w:r w:rsidR="00C016EC" w:rsidRPr="00C016EC">
        <w:rPr>
          <w:sz w:val="22"/>
          <w:szCs w:val="22"/>
          <w:lang w:val="en-GB"/>
        </w:rPr>
        <w:t xml:space="preserve">. </w:t>
      </w:r>
    </w:p>
    <w:p w14:paraId="15298E61" w14:textId="77777777" w:rsidR="00C016EC" w:rsidRPr="00C016EC" w:rsidRDefault="00C016EC" w:rsidP="00C016EC">
      <w:pPr>
        <w:pStyle w:val="Default"/>
        <w:rPr>
          <w:sz w:val="22"/>
          <w:szCs w:val="22"/>
          <w:lang w:val="en-GB"/>
        </w:rPr>
      </w:pPr>
    </w:p>
    <w:p w14:paraId="7647D316" w14:textId="57704EB2" w:rsidR="00C016EC" w:rsidRPr="00C016EC" w:rsidRDefault="00C016EC" w:rsidP="00A7272F">
      <w:pPr>
        <w:pStyle w:val="Default"/>
        <w:numPr>
          <w:ilvl w:val="0"/>
          <w:numId w:val="39"/>
        </w:numPr>
        <w:rPr>
          <w:sz w:val="22"/>
          <w:szCs w:val="22"/>
          <w:lang w:val="en-GB"/>
        </w:rPr>
      </w:pPr>
      <w:r w:rsidRPr="00C016EC">
        <w:rPr>
          <w:sz w:val="22"/>
          <w:szCs w:val="22"/>
          <w:lang w:val="en-GB"/>
        </w:rPr>
        <w:t xml:space="preserve">IEEE Std. 1410-2010, IEEE Guide for Improving the Lightning Performance of Electric Power Overhead Distribution Lines. </w:t>
      </w:r>
    </w:p>
    <w:p w14:paraId="3C79E782" w14:textId="77777777" w:rsidR="00C016EC" w:rsidRPr="00C016EC" w:rsidRDefault="00C016EC" w:rsidP="00C016EC">
      <w:pPr>
        <w:pStyle w:val="Default"/>
        <w:rPr>
          <w:sz w:val="22"/>
          <w:szCs w:val="22"/>
          <w:lang w:val="en-GB"/>
        </w:rPr>
      </w:pPr>
    </w:p>
    <w:sectPr w:rsidR="00C016EC" w:rsidRPr="00C016EC">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9A799" w14:textId="77777777" w:rsidR="00A1777B" w:rsidRDefault="00A1777B" w:rsidP="00363D6E">
      <w:pPr>
        <w:spacing w:after="0" w:line="240" w:lineRule="auto"/>
      </w:pPr>
      <w:r>
        <w:separator/>
      </w:r>
    </w:p>
  </w:endnote>
  <w:endnote w:type="continuationSeparator" w:id="0">
    <w:p w14:paraId="1F14A1EA" w14:textId="77777777" w:rsidR="00A1777B" w:rsidRDefault="00A1777B" w:rsidP="0036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BC305" w14:textId="7867DFE8" w:rsidR="003F0F72" w:rsidRDefault="003F0F72">
    <w:pPr>
      <w:pStyle w:val="Footer"/>
    </w:pPr>
    <w:r>
      <w:tab/>
    </w:r>
    <w:r>
      <w:fldChar w:fldCharType="begin"/>
    </w:r>
    <w:r>
      <w:instrText>PAGE   \* MERGEFORMAT</w:instrText>
    </w:r>
    <w:r>
      <w:fldChar w:fldCharType="separate"/>
    </w:r>
    <w:r w:rsidR="00A9424B" w:rsidRPr="00A9424B">
      <w:rPr>
        <w:noProof/>
        <w:lang w:val="fr-FR"/>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D19B1" w14:textId="77777777" w:rsidR="00A1777B" w:rsidRDefault="00A1777B" w:rsidP="00363D6E">
      <w:pPr>
        <w:spacing w:after="0" w:line="240" w:lineRule="auto"/>
      </w:pPr>
      <w:r>
        <w:separator/>
      </w:r>
    </w:p>
  </w:footnote>
  <w:footnote w:type="continuationSeparator" w:id="0">
    <w:p w14:paraId="3912FF71" w14:textId="77777777" w:rsidR="00A1777B" w:rsidRDefault="00A1777B" w:rsidP="00363D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B6E43" w14:textId="3EC2DD02" w:rsidR="003F0F72" w:rsidRPr="00363D6E" w:rsidRDefault="003F0F72">
    <w:pPr>
      <w:pStyle w:val="Header"/>
      <w:rPr>
        <w:i/>
        <w:u w:val="single"/>
        <w:lang w:val="en-GB"/>
      </w:rPr>
    </w:pPr>
    <w:proofErr w:type="spellStart"/>
    <w:r>
      <w:rPr>
        <w:i/>
        <w:u w:val="single"/>
        <w:lang w:val="en-GB"/>
      </w:rPr>
      <w:t>OpenETran</w:t>
    </w:r>
    <w:proofErr w:type="spellEnd"/>
    <w:r>
      <w:rPr>
        <w:i/>
        <w:u w:val="single"/>
        <w:lang w:val="en-GB"/>
      </w:rPr>
      <w:t xml:space="preserve"> Tutorials</w:t>
    </w:r>
    <w:r>
      <w:rPr>
        <w:i/>
        <w:u w:val="single"/>
        <w:lang w:val="en-GB"/>
      </w:rPr>
      <w:tab/>
    </w:r>
    <w:r>
      <w:rPr>
        <w:i/>
        <w:u w:val="single"/>
        <w:lang w:val="en-GB"/>
      </w:rPr>
      <w:tab/>
      <w:t>August</w:t>
    </w:r>
    <w:r w:rsidRPr="00363D6E">
      <w:rPr>
        <w:i/>
        <w:u w:val="single"/>
        <w:lang w:val="en-GB"/>
      </w:rPr>
      <w:t xml:space="preserve"> 2</w:t>
    </w:r>
    <w:r>
      <w:rPr>
        <w:i/>
        <w:u w:val="single"/>
        <w:lang w:val="en-GB"/>
      </w:rPr>
      <w:t>1</w:t>
    </w:r>
    <w:r w:rsidRPr="00363D6E">
      <w:rPr>
        <w:i/>
        <w:u w:val="single"/>
        <w:lang w:val="en-GB"/>
      </w:rPr>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5D44B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152D5"/>
    <w:multiLevelType w:val="hybridMultilevel"/>
    <w:tmpl w:val="2E3AB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2B1A4A"/>
    <w:multiLevelType w:val="hybridMultilevel"/>
    <w:tmpl w:val="67A475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5B6D31"/>
    <w:multiLevelType w:val="hybridMultilevel"/>
    <w:tmpl w:val="903E0CD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E056F"/>
    <w:multiLevelType w:val="hybridMultilevel"/>
    <w:tmpl w:val="680CF0C0"/>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8907982"/>
    <w:multiLevelType w:val="hybridMultilevel"/>
    <w:tmpl w:val="A26EF31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05083"/>
    <w:multiLevelType w:val="hybridMultilevel"/>
    <w:tmpl w:val="F0CA35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153B99"/>
    <w:multiLevelType w:val="hybridMultilevel"/>
    <w:tmpl w:val="1DDE3B4C"/>
    <w:lvl w:ilvl="0" w:tplc="057EF366">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1BC16B54"/>
    <w:multiLevelType w:val="hybridMultilevel"/>
    <w:tmpl w:val="D01C5C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CC442B"/>
    <w:multiLevelType w:val="hybridMultilevel"/>
    <w:tmpl w:val="20F81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99D1B7E"/>
    <w:multiLevelType w:val="hybridMultilevel"/>
    <w:tmpl w:val="7938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A52D6"/>
    <w:multiLevelType w:val="hybridMultilevel"/>
    <w:tmpl w:val="545E0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163777"/>
    <w:multiLevelType w:val="multilevel"/>
    <w:tmpl w:val="1D2A59F2"/>
    <w:lvl w:ilvl="0">
      <w:start w:val="1"/>
      <w:numFmt w:val="decimal"/>
      <w:pStyle w:val="Puc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A701009"/>
    <w:multiLevelType w:val="hybridMultilevel"/>
    <w:tmpl w:val="29A2B09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3B527F40"/>
    <w:multiLevelType w:val="hybridMultilevel"/>
    <w:tmpl w:val="0744038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5" w15:restartNumberingAfterBreak="0">
    <w:nsid w:val="49DC48AC"/>
    <w:multiLevelType w:val="multilevel"/>
    <w:tmpl w:val="2A3A6E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BB35DC2"/>
    <w:multiLevelType w:val="hybridMultilevel"/>
    <w:tmpl w:val="F0C8C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4F7031"/>
    <w:multiLevelType w:val="hybridMultilevel"/>
    <w:tmpl w:val="C26C61F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53326229"/>
    <w:multiLevelType w:val="hybridMultilevel"/>
    <w:tmpl w:val="70F86C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390992"/>
    <w:multiLevelType w:val="hybridMultilevel"/>
    <w:tmpl w:val="6A8E5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254269"/>
    <w:multiLevelType w:val="hybridMultilevel"/>
    <w:tmpl w:val="D4DCA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271428B"/>
    <w:multiLevelType w:val="hybridMultilevel"/>
    <w:tmpl w:val="1DB27C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0638CA"/>
    <w:multiLevelType w:val="hybridMultilevel"/>
    <w:tmpl w:val="CEF05994"/>
    <w:lvl w:ilvl="0" w:tplc="04090001">
      <w:start w:val="1"/>
      <w:numFmt w:val="bullet"/>
      <w:lvlText w:val=""/>
      <w:lvlJc w:val="left"/>
      <w:pPr>
        <w:ind w:left="1348" w:hanging="360"/>
      </w:pPr>
      <w:rPr>
        <w:rFonts w:ascii="Symbol" w:hAnsi="Symbol" w:hint="default"/>
      </w:rPr>
    </w:lvl>
    <w:lvl w:ilvl="1" w:tplc="04090003" w:tentative="1">
      <w:start w:val="1"/>
      <w:numFmt w:val="bullet"/>
      <w:lvlText w:val="o"/>
      <w:lvlJc w:val="left"/>
      <w:pPr>
        <w:ind w:left="2068" w:hanging="360"/>
      </w:pPr>
      <w:rPr>
        <w:rFonts w:ascii="Courier New" w:hAnsi="Courier New" w:cs="Courier New" w:hint="default"/>
      </w:rPr>
    </w:lvl>
    <w:lvl w:ilvl="2" w:tplc="04090005" w:tentative="1">
      <w:start w:val="1"/>
      <w:numFmt w:val="bullet"/>
      <w:lvlText w:val=""/>
      <w:lvlJc w:val="left"/>
      <w:pPr>
        <w:ind w:left="2788" w:hanging="360"/>
      </w:pPr>
      <w:rPr>
        <w:rFonts w:ascii="Wingdings" w:hAnsi="Wingdings" w:hint="default"/>
      </w:rPr>
    </w:lvl>
    <w:lvl w:ilvl="3" w:tplc="04090001" w:tentative="1">
      <w:start w:val="1"/>
      <w:numFmt w:val="bullet"/>
      <w:lvlText w:val=""/>
      <w:lvlJc w:val="left"/>
      <w:pPr>
        <w:ind w:left="3508" w:hanging="360"/>
      </w:pPr>
      <w:rPr>
        <w:rFonts w:ascii="Symbol" w:hAnsi="Symbol" w:hint="default"/>
      </w:rPr>
    </w:lvl>
    <w:lvl w:ilvl="4" w:tplc="04090003" w:tentative="1">
      <w:start w:val="1"/>
      <w:numFmt w:val="bullet"/>
      <w:lvlText w:val="o"/>
      <w:lvlJc w:val="left"/>
      <w:pPr>
        <w:ind w:left="4228" w:hanging="360"/>
      </w:pPr>
      <w:rPr>
        <w:rFonts w:ascii="Courier New" w:hAnsi="Courier New" w:cs="Courier New" w:hint="default"/>
      </w:rPr>
    </w:lvl>
    <w:lvl w:ilvl="5" w:tplc="04090005" w:tentative="1">
      <w:start w:val="1"/>
      <w:numFmt w:val="bullet"/>
      <w:lvlText w:val=""/>
      <w:lvlJc w:val="left"/>
      <w:pPr>
        <w:ind w:left="4948" w:hanging="360"/>
      </w:pPr>
      <w:rPr>
        <w:rFonts w:ascii="Wingdings" w:hAnsi="Wingdings" w:hint="default"/>
      </w:rPr>
    </w:lvl>
    <w:lvl w:ilvl="6" w:tplc="04090001" w:tentative="1">
      <w:start w:val="1"/>
      <w:numFmt w:val="bullet"/>
      <w:lvlText w:val=""/>
      <w:lvlJc w:val="left"/>
      <w:pPr>
        <w:ind w:left="5668" w:hanging="360"/>
      </w:pPr>
      <w:rPr>
        <w:rFonts w:ascii="Symbol" w:hAnsi="Symbol" w:hint="default"/>
      </w:rPr>
    </w:lvl>
    <w:lvl w:ilvl="7" w:tplc="04090003" w:tentative="1">
      <w:start w:val="1"/>
      <w:numFmt w:val="bullet"/>
      <w:lvlText w:val="o"/>
      <w:lvlJc w:val="left"/>
      <w:pPr>
        <w:ind w:left="6388" w:hanging="360"/>
      </w:pPr>
      <w:rPr>
        <w:rFonts w:ascii="Courier New" w:hAnsi="Courier New" w:cs="Courier New" w:hint="default"/>
      </w:rPr>
    </w:lvl>
    <w:lvl w:ilvl="8" w:tplc="04090005" w:tentative="1">
      <w:start w:val="1"/>
      <w:numFmt w:val="bullet"/>
      <w:lvlText w:val=""/>
      <w:lvlJc w:val="left"/>
      <w:pPr>
        <w:ind w:left="7108" w:hanging="360"/>
      </w:pPr>
      <w:rPr>
        <w:rFonts w:ascii="Wingdings" w:hAnsi="Wingdings" w:hint="default"/>
      </w:rPr>
    </w:lvl>
  </w:abstractNum>
  <w:abstractNum w:abstractNumId="23" w15:restartNumberingAfterBreak="0">
    <w:nsid w:val="6A73054B"/>
    <w:multiLevelType w:val="hybridMultilevel"/>
    <w:tmpl w:val="491E62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CD6EC7"/>
    <w:multiLevelType w:val="hybridMultilevel"/>
    <w:tmpl w:val="37F63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C3F6E56"/>
    <w:multiLevelType w:val="hybridMultilevel"/>
    <w:tmpl w:val="78B2C5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E477995"/>
    <w:multiLevelType w:val="hybridMultilevel"/>
    <w:tmpl w:val="10340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033150B"/>
    <w:multiLevelType w:val="hybridMultilevel"/>
    <w:tmpl w:val="6660F456"/>
    <w:lvl w:ilvl="0" w:tplc="9C389A94">
      <w:start w:val="1"/>
      <w:numFmt w:val="bullet"/>
      <w:lvlText w:val=""/>
      <w:lvlJc w:val="left"/>
      <w:pPr>
        <w:ind w:left="720" w:hanging="360"/>
      </w:pPr>
      <w:rPr>
        <w:rFonts w:ascii="Symbol" w:hAnsi="Symbol" w:hint="default"/>
      </w:rPr>
    </w:lvl>
    <w:lvl w:ilvl="1" w:tplc="CCA08B58">
      <w:start w:val="1"/>
      <w:numFmt w:val="bullet"/>
      <w:lvlText w:val="o"/>
      <w:lvlJc w:val="left"/>
      <w:pPr>
        <w:ind w:left="1440" w:hanging="360"/>
      </w:pPr>
      <w:rPr>
        <w:rFonts w:ascii="Courier New" w:hAnsi="Courier New" w:cs="Courier New" w:hint="default"/>
      </w:rPr>
    </w:lvl>
    <w:lvl w:ilvl="2" w:tplc="12324A46">
      <w:start w:val="1"/>
      <w:numFmt w:val="bullet"/>
      <w:lvlText w:val=""/>
      <w:lvlJc w:val="left"/>
      <w:pPr>
        <w:ind w:left="2160" w:hanging="360"/>
      </w:pPr>
      <w:rPr>
        <w:rFonts w:ascii="Wingdings" w:hAnsi="Wingdings" w:hint="default"/>
      </w:rPr>
    </w:lvl>
    <w:lvl w:ilvl="3" w:tplc="E1C2858E" w:tentative="1">
      <w:start w:val="1"/>
      <w:numFmt w:val="bullet"/>
      <w:lvlText w:val=""/>
      <w:lvlJc w:val="left"/>
      <w:pPr>
        <w:ind w:left="2880" w:hanging="360"/>
      </w:pPr>
      <w:rPr>
        <w:rFonts w:ascii="Symbol" w:hAnsi="Symbol" w:hint="default"/>
      </w:rPr>
    </w:lvl>
    <w:lvl w:ilvl="4" w:tplc="17627FDA" w:tentative="1">
      <w:start w:val="1"/>
      <w:numFmt w:val="bullet"/>
      <w:lvlText w:val="o"/>
      <w:lvlJc w:val="left"/>
      <w:pPr>
        <w:ind w:left="3600" w:hanging="360"/>
      </w:pPr>
      <w:rPr>
        <w:rFonts w:ascii="Courier New" w:hAnsi="Courier New" w:cs="Courier New" w:hint="default"/>
      </w:rPr>
    </w:lvl>
    <w:lvl w:ilvl="5" w:tplc="68785AAE" w:tentative="1">
      <w:start w:val="1"/>
      <w:numFmt w:val="bullet"/>
      <w:lvlText w:val=""/>
      <w:lvlJc w:val="left"/>
      <w:pPr>
        <w:ind w:left="4320" w:hanging="360"/>
      </w:pPr>
      <w:rPr>
        <w:rFonts w:ascii="Wingdings" w:hAnsi="Wingdings" w:hint="default"/>
      </w:rPr>
    </w:lvl>
    <w:lvl w:ilvl="6" w:tplc="45AAD896" w:tentative="1">
      <w:start w:val="1"/>
      <w:numFmt w:val="bullet"/>
      <w:lvlText w:val=""/>
      <w:lvlJc w:val="left"/>
      <w:pPr>
        <w:ind w:left="5040" w:hanging="360"/>
      </w:pPr>
      <w:rPr>
        <w:rFonts w:ascii="Symbol" w:hAnsi="Symbol" w:hint="default"/>
      </w:rPr>
    </w:lvl>
    <w:lvl w:ilvl="7" w:tplc="B14418BA" w:tentative="1">
      <w:start w:val="1"/>
      <w:numFmt w:val="bullet"/>
      <w:lvlText w:val="o"/>
      <w:lvlJc w:val="left"/>
      <w:pPr>
        <w:ind w:left="5760" w:hanging="360"/>
      </w:pPr>
      <w:rPr>
        <w:rFonts w:ascii="Courier New" w:hAnsi="Courier New" w:cs="Courier New" w:hint="default"/>
      </w:rPr>
    </w:lvl>
    <w:lvl w:ilvl="8" w:tplc="F662B9CC" w:tentative="1">
      <w:start w:val="1"/>
      <w:numFmt w:val="bullet"/>
      <w:lvlText w:val=""/>
      <w:lvlJc w:val="left"/>
      <w:pPr>
        <w:ind w:left="6480" w:hanging="360"/>
      </w:pPr>
      <w:rPr>
        <w:rFonts w:ascii="Wingdings" w:hAnsi="Wingdings" w:hint="default"/>
      </w:rPr>
    </w:lvl>
  </w:abstractNum>
  <w:abstractNum w:abstractNumId="28" w15:restartNumberingAfterBreak="0">
    <w:nsid w:val="73804B68"/>
    <w:multiLevelType w:val="hybridMultilevel"/>
    <w:tmpl w:val="9572C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0A7E1B"/>
    <w:multiLevelType w:val="hybridMultilevel"/>
    <w:tmpl w:val="405A3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A5F7B"/>
    <w:multiLevelType w:val="hybridMultilevel"/>
    <w:tmpl w:val="D0446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27"/>
  </w:num>
  <w:num w:numId="11">
    <w:abstractNumId w:val="12"/>
  </w:num>
  <w:num w:numId="12">
    <w:abstractNumId w:val="0"/>
  </w:num>
  <w:num w:numId="13">
    <w:abstractNumId w:val="0"/>
  </w:num>
  <w:num w:numId="14">
    <w:abstractNumId w:val="15"/>
  </w:num>
  <w:num w:numId="15">
    <w:abstractNumId w:val="16"/>
  </w:num>
  <w:num w:numId="16">
    <w:abstractNumId w:val="29"/>
  </w:num>
  <w:num w:numId="17">
    <w:abstractNumId w:val="26"/>
  </w:num>
  <w:num w:numId="18">
    <w:abstractNumId w:val="28"/>
  </w:num>
  <w:num w:numId="19">
    <w:abstractNumId w:val="24"/>
  </w:num>
  <w:num w:numId="20">
    <w:abstractNumId w:val="19"/>
  </w:num>
  <w:num w:numId="21">
    <w:abstractNumId w:val="30"/>
  </w:num>
  <w:num w:numId="22">
    <w:abstractNumId w:val="13"/>
  </w:num>
  <w:num w:numId="23">
    <w:abstractNumId w:val="9"/>
  </w:num>
  <w:num w:numId="24">
    <w:abstractNumId w:val="23"/>
  </w:num>
  <w:num w:numId="25">
    <w:abstractNumId w:val="20"/>
  </w:num>
  <w:num w:numId="26">
    <w:abstractNumId w:val="8"/>
  </w:num>
  <w:num w:numId="27">
    <w:abstractNumId w:val="11"/>
  </w:num>
  <w:num w:numId="28">
    <w:abstractNumId w:val="7"/>
  </w:num>
  <w:num w:numId="29">
    <w:abstractNumId w:val="14"/>
  </w:num>
  <w:num w:numId="30">
    <w:abstractNumId w:val="25"/>
  </w:num>
  <w:num w:numId="31">
    <w:abstractNumId w:val="1"/>
  </w:num>
  <w:num w:numId="32">
    <w:abstractNumId w:val="18"/>
  </w:num>
  <w:num w:numId="33">
    <w:abstractNumId w:val="2"/>
  </w:num>
  <w:num w:numId="34">
    <w:abstractNumId w:val="21"/>
  </w:num>
  <w:num w:numId="35">
    <w:abstractNumId w:val="6"/>
  </w:num>
  <w:num w:numId="36">
    <w:abstractNumId w:val="22"/>
  </w:num>
  <w:num w:numId="37">
    <w:abstractNumId w:val="3"/>
  </w:num>
  <w:num w:numId="38">
    <w:abstractNumId w:val="10"/>
  </w:num>
  <w:num w:numId="39">
    <w:abstractNumId w:val="5"/>
  </w:num>
  <w:num w:numId="40">
    <w:abstractNumId w:val="17"/>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45"/>
    <w:rsid w:val="00002F9D"/>
    <w:rsid w:val="00004D20"/>
    <w:rsid w:val="00006177"/>
    <w:rsid w:val="00016585"/>
    <w:rsid w:val="000170C3"/>
    <w:rsid w:val="0002110F"/>
    <w:rsid w:val="00021CC0"/>
    <w:rsid w:val="0002357F"/>
    <w:rsid w:val="000271F0"/>
    <w:rsid w:val="00027425"/>
    <w:rsid w:val="00030F1D"/>
    <w:rsid w:val="000344D0"/>
    <w:rsid w:val="00037F95"/>
    <w:rsid w:val="000517DA"/>
    <w:rsid w:val="00054E3D"/>
    <w:rsid w:val="000561A8"/>
    <w:rsid w:val="0005651D"/>
    <w:rsid w:val="00057BDC"/>
    <w:rsid w:val="0007375C"/>
    <w:rsid w:val="00080EAA"/>
    <w:rsid w:val="000857E1"/>
    <w:rsid w:val="00093F48"/>
    <w:rsid w:val="00096DE0"/>
    <w:rsid w:val="000C1AA9"/>
    <w:rsid w:val="000C75E7"/>
    <w:rsid w:val="000D0502"/>
    <w:rsid w:val="000D31AC"/>
    <w:rsid w:val="000D67B5"/>
    <w:rsid w:val="000D6F3C"/>
    <w:rsid w:val="000F0617"/>
    <w:rsid w:val="00100DE7"/>
    <w:rsid w:val="001011E8"/>
    <w:rsid w:val="00103D93"/>
    <w:rsid w:val="00106548"/>
    <w:rsid w:val="00116AC5"/>
    <w:rsid w:val="0012075D"/>
    <w:rsid w:val="00130374"/>
    <w:rsid w:val="001322FD"/>
    <w:rsid w:val="001552D7"/>
    <w:rsid w:val="00156CEC"/>
    <w:rsid w:val="0016072D"/>
    <w:rsid w:val="00176466"/>
    <w:rsid w:val="00176EDE"/>
    <w:rsid w:val="00186DAF"/>
    <w:rsid w:val="00187DF2"/>
    <w:rsid w:val="00191F87"/>
    <w:rsid w:val="00197872"/>
    <w:rsid w:val="001A28F2"/>
    <w:rsid w:val="001A69E4"/>
    <w:rsid w:val="001A6FED"/>
    <w:rsid w:val="001B2584"/>
    <w:rsid w:val="001C1A0B"/>
    <w:rsid w:val="001C1A8A"/>
    <w:rsid w:val="001C2927"/>
    <w:rsid w:val="001D5046"/>
    <w:rsid w:val="001E407E"/>
    <w:rsid w:val="00200398"/>
    <w:rsid w:val="0021150A"/>
    <w:rsid w:val="002141A3"/>
    <w:rsid w:val="00224B2B"/>
    <w:rsid w:val="00227A14"/>
    <w:rsid w:val="00227BAA"/>
    <w:rsid w:val="0023185F"/>
    <w:rsid w:val="00232289"/>
    <w:rsid w:val="00236C76"/>
    <w:rsid w:val="002437C4"/>
    <w:rsid w:val="002441D8"/>
    <w:rsid w:val="0024679D"/>
    <w:rsid w:val="00254145"/>
    <w:rsid w:val="002554BD"/>
    <w:rsid w:val="00271073"/>
    <w:rsid w:val="002774B1"/>
    <w:rsid w:val="002824FD"/>
    <w:rsid w:val="00285091"/>
    <w:rsid w:val="00294009"/>
    <w:rsid w:val="002B250A"/>
    <w:rsid w:val="002B3192"/>
    <w:rsid w:val="002C70F6"/>
    <w:rsid w:val="002D0B4D"/>
    <w:rsid w:val="002E3041"/>
    <w:rsid w:val="002F082D"/>
    <w:rsid w:val="002F36C7"/>
    <w:rsid w:val="002F5595"/>
    <w:rsid w:val="003075B7"/>
    <w:rsid w:val="00312D7C"/>
    <w:rsid w:val="00312F4D"/>
    <w:rsid w:val="003134A5"/>
    <w:rsid w:val="00326461"/>
    <w:rsid w:val="00330024"/>
    <w:rsid w:val="003365BC"/>
    <w:rsid w:val="00336D10"/>
    <w:rsid w:val="0033775A"/>
    <w:rsid w:val="00337BE5"/>
    <w:rsid w:val="00337FB6"/>
    <w:rsid w:val="0034171A"/>
    <w:rsid w:val="00355520"/>
    <w:rsid w:val="00355BC6"/>
    <w:rsid w:val="00361660"/>
    <w:rsid w:val="00362349"/>
    <w:rsid w:val="00363D6E"/>
    <w:rsid w:val="0037234B"/>
    <w:rsid w:val="0037464D"/>
    <w:rsid w:val="00376DFE"/>
    <w:rsid w:val="003854CB"/>
    <w:rsid w:val="003979E0"/>
    <w:rsid w:val="003A5A04"/>
    <w:rsid w:val="003B3C36"/>
    <w:rsid w:val="003C50C5"/>
    <w:rsid w:val="003D480C"/>
    <w:rsid w:val="003E696B"/>
    <w:rsid w:val="003F0F72"/>
    <w:rsid w:val="003F12E5"/>
    <w:rsid w:val="003F416F"/>
    <w:rsid w:val="003F4DC8"/>
    <w:rsid w:val="0041309E"/>
    <w:rsid w:val="004135F6"/>
    <w:rsid w:val="00414D31"/>
    <w:rsid w:val="00415285"/>
    <w:rsid w:val="00417398"/>
    <w:rsid w:val="00435AD3"/>
    <w:rsid w:val="0044134B"/>
    <w:rsid w:val="00455408"/>
    <w:rsid w:val="00462F57"/>
    <w:rsid w:val="004655EC"/>
    <w:rsid w:val="00465E38"/>
    <w:rsid w:val="00472351"/>
    <w:rsid w:val="004A3C1C"/>
    <w:rsid w:val="004B19B3"/>
    <w:rsid w:val="004C0AE6"/>
    <w:rsid w:val="004C1DD0"/>
    <w:rsid w:val="004C66C6"/>
    <w:rsid w:val="004E2D35"/>
    <w:rsid w:val="004E4B4E"/>
    <w:rsid w:val="004F5517"/>
    <w:rsid w:val="005002B3"/>
    <w:rsid w:val="00500E63"/>
    <w:rsid w:val="005056E3"/>
    <w:rsid w:val="00507F67"/>
    <w:rsid w:val="00512A0F"/>
    <w:rsid w:val="00514C1A"/>
    <w:rsid w:val="00514E3E"/>
    <w:rsid w:val="00515185"/>
    <w:rsid w:val="005245F4"/>
    <w:rsid w:val="0052462B"/>
    <w:rsid w:val="00525D85"/>
    <w:rsid w:val="005466FB"/>
    <w:rsid w:val="00546B65"/>
    <w:rsid w:val="00552D17"/>
    <w:rsid w:val="0055305F"/>
    <w:rsid w:val="0055363A"/>
    <w:rsid w:val="0055690B"/>
    <w:rsid w:val="005577CB"/>
    <w:rsid w:val="00561C0D"/>
    <w:rsid w:val="005640F3"/>
    <w:rsid w:val="00571B83"/>
    <w:rsid w:val="00573D7F"/>
    <w:rsid w:val="00575087"/>
    <w:rsid w:val="005813E3"/>
    <w:rsid w:val="0058438B"/>
    <w:rsid w:val="00595CC6"/>
    <w:rsid w:val="005A41A8"/>
    <w:rsid w:val="005B336D"/>
    <w:rsid w:val="005B5DA1"/>
    <w:rsid w:val="005B74B9"/>
    <w:rsid w:val="005C6A8F"/>
    <w:rsid w:val="005C71CF"/>
    <w:rsid w:val="005D0133"/>
    <w:rsid w:val="005E4677"/>
    <w:rsid w:val="005F16BD"/>
    <w:rsid w:val="005F67AF"/>
    <w:rsid w:val="006023F1"/>
    <w:rsid w:val="00605EAB"/>
    <w:rsid w:val="0061033F"/>
    <w:rsid w:val="00614F8C"/>
    <w:rsid w:val="00633D67"/>
    <w:rsid w:val="00633FFB"/>
    <w:rsid w:val="006342CC"/>
    <w:rsid w:val="00636F6B"/>
    <w:rsid w:val="00644622"/>
    <w:rsid w:val="00646965"/>
    <w:rsid w:val="00650487"/>
    <w:rsid w:val="006527C2"/>
    <w:rsid w:val="00655F22"/>
    <w:rsid w:val="006700BF"/>
    <w:rsid w:val="0067171D"/>
    <w:rsid w:val="006809C2"/>
    <w:rsid w:val="006918DC"/>
    <w:rsid w:val="006A1442"/>
    <w:rsid w:val="006A3949"/>
    <w:rsid w:val="006B55C7"/>
    <w:rsid w:val="006D3626"/>
    <w:rsid w:val="006D4F6E"/>
    <w:rsid w:val="006E02BA"/>
    <w:rsid w:val="006F16D9"/>
    <w:rsid w:val="006F28AC"/>
    <w:rsid w:val="00703A5E"/>
    <w:rsid w:val="007155CD"/>
    <w:rsid w:val="00715939"/>
    <w:rsid w:val="00721594"/>
    <w:rsid w:val="007229C3"/>
    <w:rsid w:val="007310F0"/>
    <w:rsid w:val="007339D8"/>
    <w:rsid w:val="00733C82"/>
    <w:rsid w:val="007349E2"/>
    <w:rsid w:val="00744B3E"/>
    <w:rsid w:val="00746A9A"/>
    <w:rsid w:val="007553E4"/>
    <w:rsid w:val="00761D63"/>
    <w:rsid w:val="00762A42"/>
    <w:rsid w:val="007631AA"/>
    <w:rsid w:val="0078259B"/>
    <w:rsid w:val="007841A5"/>
    <w:rsid w:val="00785D66"/>
    <w:rsid w:val="00797A83"/>
    <w:rsid w:val="007A3D54"/>
    <w:rsid w:val="007A7733"/>
    <w:rsid w:val="007B7D0A"/>
    <w:rsid w:val="007D1A8F"/>
    <w:rsid w:val="007E32C6"/>
    <w:rsid w:val="007F0B0A"/>
    <w:rsid w:val="00803C9F"/>
    <w:rsid w:val="008133C2"/>
    <w:rsid w:val="00815814"/>
    <w:rsid w:val="00815E60"/>
    <w:rsid w:val="008204B3"/>
    <w:rsid w:val="00836A54"/>
    <w:rsid w:val="008405B8"/>
    <w:rsid w:val="00842BA2"/>
    <w:rsid w:val="0084618A"/>
    <w:rsid w:val="00867281"/>
    <w:rsid w:val="008817AB"/>
    <w:rsid w:val="008868D5"/>
    <w:rsid w:val="00887A5B"/>
    <w:rsid w:val="0089539D"/>
    <w:rsid w:val="00897600"/>
    <w:rsid w:val="008A0B53"/>
    <w:rsid w:val="008A68D3"/>
    <w:rsid w:val="008B146E"/>
    <w:rsid w:val="008B1F79"/>
    <w:rsid w:val="008B5227"/>
    <w:rsid w:val="008B5F4B"/>
    <w:rsid w:val="008B6E05"/>
    <w:rsid w:val="008C5134"/>
    <w:rsid w:val="008D1F2D"/>
    <w:rsid w:val="008D239E"/>
    <w:rsid w:val="008E0A67"/>
    <w:rsid w:val="008E5CC0"/>
    <w:rsid w:val="008F1F81"/>
    <w:rsid w:val="008F274A"/>
    <w:rsid w:val="008F7EF8"/>
    <w:rsid w:val="00902519"/>
    <w:rsid w:val="00913901"/>
    <w:rsid w:val="00936B52"/>
    <w:rsid w:val="00937CC5"/>
    <w:rsid w:val="00942B97"/>
    <w:rsid w:val="009446BB"/>
    <w:rsid w:val="00950E52"/>
    <w:rsid w:val="00953DFA"/>
    <w:rsid w:val="00954EAC"/>
    <w:rsid w:val="0096204D"/>
    <w:rsid w:val="009656E5"/>
    <w:rsid w:val="00975D13"/>
    <w:rsid w:val="00976480"/>
    <w:rsid w:val="009844F0"/>
    <w:rsid w:val="00991E20"/>
    <w:rsid w:val="00997145"/>
    <w:rsid w:val="009C07CA"/>
    <w:rsid w:val="009C18CB"/>
    <w:rsid w:val="009E15E0"/>
    <w:rsid w:val="009F00FD"/>
    <w:rsid w:val="00A0399E"/>
    <w:rsid w:val="00A105F7"/>
    <w:rsid w:val="00A1154F"/>
    <w:rsid w:val="00A11E37"/>
    <w:rsid w:val="00A1777B"/>
    <w:rsid w:val="00A238A3"/>
    <w:rsid w:val="00A27530"/>
    <w:rsid w:val="00A27664"/>
    <w:rsid w:val="00A31CAB"/>
    <w:rsid w:val="00A43BD0"/>
    <w:rsid w:val="00A4647F"/>
    <w:rsid w:val="00A46ED3"/>
    <w:rsid w:val="00A659F3"/>
    <w:rsid w:val="00A7272F"/>
    <w:rsid w:val="00A741A2"/>
    <w:rsid w:val="00A77FF5"/>
    <w:rsid w:val="00A9424B"/>
    <w:rsid w:val="00A9533C"/>
    <w:rsid w:val="00AC20BA"/>
    <w:rsid w:val="00AC26C5"/>
    <w:rsid w:val="00AC5A08"/>
    <w:rsid w:val="00AE5D30"/>
    <w:rsid w:val="00AE5EB5"/>
    <w:rsid w:val="00AF7C7B"/>
    <w:rsid w:val="00AF7FF8"/>
    <w:rsid w:val="00B0485E"/>
    <w:rsid w:val="00B15686"/>
    <w:rsid w:val="00B16050"/>
    <w:rsid w:val="00B160F5"/>
    <w:rsid w:val="00B2003C"/>
    <w:rsid w:val="00B2135C"/>
    <w:rsid w:val="00B23279"/>
    <w:rsid w:val="00B31C47"/>
    <w:rsid w:val="00B34394"/>
    <w:rsid w:val="00B35E05"/>
    <w:rsid w:val="00B4494F"/>
    <w:rsid w:val="00B477D6"/>
    <w:rsid w:val="00B5659F"/>
    <w:rsid w:val="00B65E5C"/>
    <w:rsid w:val="00B70300"/>
    <w:rsid w:val="00B76E73"/>
    <w:rsid w:val="00B77863"/>
    <w:rsid w:val="00B81E0E"/>
    <w:rsid w:val="00B9558F"/>
    <w:rsid w:val="00BA465C"/>
    <w:rsid w:val="00BA5C0D"/>
    <w:rsid w:val="00BA755C"/>
    <w:rsid w:val="00BB0741"/>
    <w:rsid w:val="00BB19C7"/>
    <w:rsid w:val="00BB66D8"/>
    <w:rsid w:val="00BB78AF"/>
    <w:rsid w:val="00BC43CF"/>
    <w:rsid w:val="00BC6054"/>
    <w:rsid w:val="00BD35E5"/>
    <w:rsid w:val="00BD6FA2"/>
    <w:rsid w:val="00BE1ADF"/>
    <w:rsid w:val="00BF2A54"/>
    <w:rsid w:val="00BF7A50"/>
    <w:rsid w:val="00C016EC"/>
    <w:rsid w:val="00C1444B"/>
    <w:rsid w:val="00C17D5B"/>
    <w:rsid w:val="00C22CA8"/>
    <w:rsid w:val="00C315B2"/>
    <w:rsid w:val="00C4705B"/>
    <w:rsid w:val="00C519CD"/>
    <w:rsid w:val="00C5779C"/>
    <w:rsid w:val="00C76BA5"/>
    <w:rsid w:val="00C8327C"/>
    <w:rsid w:val="00CA206F"/>
    <w:rsid w:val="00CA32B7"/>
    <w:rsid w:val="00CA5D9D"/>
    <w:rsid w:val="00CA76CD"/>
    <w:rsid w:val="00CB087E"/>
    <w:rsid w:val="00CB4583"/>
    <w:rsid w:val="00CB5DA4"/>
    <w:rsid w:val="00CC4293"/>
    <w:rsid w:val="00CE07C5"/>
    <w:rsid w:val="00CE4715"/>
    <w:rsid w:val="00D000D2"/>
    <w:rsid w:val="00D24855"/>
    <w:rsid w:val="00D47FDC"/>
    <w:rsid w:val="00D50089"/>
    <w:rsid w:val="00D57DED"/>
    <w:rsid w:val="00D60532"/>
    <w:rsid w:val="00D67C14"/>
    <w:rsid w:val="00D701AA"/>
    <w:rsid w:val="00D716E2"/>
    <w:rsid w:val="00D812D6"/>
    <w:rsid w:val="00D836F8"/>
    <w:rsid w:val="00D8493E"/>
    <w:rsid w:val="00D8743E"/>
    <w:rsid w:val="00D97040"/>
    <w:rsid w:val="00DA0858"/>
    <w:rsid w:val="00DA492A"/>
    <w:rsid w:val="00DD3890"/>
    <w:rsid w:val="00DE25DA"/>
    <w:rsid w:val="00DE4B7B"/>
    <w:rsid w:val="00DE5A97"/>
    <w:rsid w:val="00DE6488"/>
    <w:rsid w:val="00E05916"/>
    <w:rsid w:val="00E104C7"/>
    <w:rsid w:val="00E12923"/>
    <w:rsid w:val="00E13768"/>
    <w:rsid w:val="00E17378"/>
    <w:rsid w:val="00E24495"/>
    <w:rsid w:val="00E25DB3"/>
    <w:rsid w:val="00E371AC"/>
    <w:rsid w:val="00E461E1"/>
    <w:rsid w:val="00E5513C"/>
    <w:rsid w:val="00E554B3"/>
    <w:rsid w:val="00E62E3C"/>
    <w:rsid w:val="00E76497"/>
    <w:rsid w:val="00E76BBA"/>
    <w:rsid w:val="00E92408"/>
    <w:rsid w:val="00E97C80"/>
    <w:rsid w:val="00EA62B1"/>
    <w:rsid w:val="00EC59AC"/>
    <w:rsid w:val="00ED48CD"/>
    <w:rsid w:val="00EE023F"/>
    <w:rsid w:val="00EE4BEA"/>
    <w:rsid w:val="00EE7C16"/>
    <w:rsid w:val="00EF7B5C"/>
    <w:rsid w:val="00F072C7"/>
    <w:rsid w:val="00F1248E"/>
    <w:rsid w:val="00F172AF"/>
    <w:rsid w:val="00F17F81"/>
    <w:rsid w:val="00F2036A"/>
    <w:rsid w:val="00F20B2C"/>
    <w:rsid w:val="00F26C03"/>
    <w:rsid w:val="00F36627"/>
    <w:rsid w:val="00F40EC2"/>
    <w:rsid w:val="00F456C3"/>
    <w:rsid w:val="00F55C03"/>
    <w:rsid w:val="00F64670"/>
    <w:rsid w:val="00F716B9"/>
    <w:rsid w:val="00F7303C"/>
    <w:rsid w:val="00F87EFF"/>
    <w:rsid w:val="00F94BF6"/>
    <w:rsid w:val="00F95BCF"/>
    <w:rsid w:val="00FA163C"/>
    <w:rsid w:val="00FA4060"/>
    <w:rsid w:val="00FB031B"/>
    <w:rsid w:val="00FB2D23"/>
    <w:rsid w:val="00FB6F72"/>
    <w:rsid w:val="00FC17F5"/>
    <w:rsid w:val="00FC203C"/>
    <w:rsid w:val="00FE0E69"/>
    <w:rsid w:val="00FE1D63"/>
    <w:rsid w:val="00FE79BC"/>
    <w:rsid w:val="00FF7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2C9F"/>
  <w15:chartTrackingRefBased/>
  <w15:docId w15:val="{467760FB-6C5A-4DF1-9B4C-89662262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7BE5"/>
    <w:pPr>
      <w:jc w:val="both"/>
    </w:pPr>
    <w:rPr>
      <w:rFonts w:ascii="Times New Roman" w:hAnsi="Times New Roman"/>
      <w:lang w:val="en-US"/>
    </w:rPr>
  </w:style>
  <w:style w:type="paragraph" w:styleId="Heading1">
    <w:name w:val="heading 1"/>
    <w:basedOn w:val="Normal"/>
    <w:next w:val="Normal"/>
    <w:link w:val="Heading1Char"/>
    <w:uiPriority w:val="9"/>
    <w:qFormat/>
    <w:rsid w:val="00515185"/>
    <w:pPr>
      <w:keepNext/>
      <w:keepLines/>
      <w:numPr>
        <w:numId w:val="14"/>
      </w:numPr>
      <w:spacing w:before="400" w:after="240" w:line="240" w:lineRule="auto"/>
      <w:contextualSpacing/>
      <w:outlineLvl w:val="0"/>
    </w:pPr>
    <w:rPr>
      <w:rFonts w:eastAsiaTheme="majorEastAsia" w:cstheme="majorBidi"/>
      <w:b/>
      <w:bCs/>
      <w:caps/>
      <w:sz w:val="24"/>
      <w:szCs w:val="28"/>
    </w:rPr>
  </w:style>
  <w:style w:type="paragraph" w:styleId="Heading2">
    <w:name w:val="heading 2"/>
    <w:basedOn w:val="Normal"/>
    <w:next w:val="Normal"/>
    <w:link w:val="Heading2Char"/>
    <w:uiPriority w:val="9"/>
    <w:unhideWhenUsed/>
    <w:qFormat/>
    <w:rsid w:val="00595CC6"/>
    <w:pPr>
      <w:keepNext/>
      <w:keepLines/>
      <w:numPr>
        <w:ilvl w:val="1"/>
        <w:numId w:val="9"/>
      </w:numPr>
      <w:spacing w:before="200" w:after="120" w:line="360" w:lineRule="auto"/>
      <w:ind w:left="862" w:hanging="578"/>
      <w:contextualSpacing/>
      <w:outlineLvl w:val="1"/>
    </w:pPr>
    <w:rPr>
      <w:rFonts w:eastAsiaTheme="majorEastAsia" w:cstheme="majorBidi"/>
      <w:b/>
      <w:bCs/>
      <w:i/>
      <w:color w:val="000000" w:themeColor="text1"/>
      <w:szCs w:val="26"/>
      <w:u w:val="single"/>
    </w:rPr>
  </w:style>
  <w:style w:type="paragraph" w:styleId="Heading3">
    <w:name w:val="heading 3"/>
    <w:basedOn w:val="Heading4"/>
    <w:next w:val="Normal"/>
    <w:link w:val="Heading3Char"/>
    <w:uiPriority w:val="9"/>
    <w:unhideWhenUsed/>
    <w:qFormat/>
    <w:rsid w:val="00500E63"/>
    <w:pPr>
      <w:numPr>
        <w:ilvl w:val="2"/>
        <w:numId w:val="14"/>
      </w:numPr>
      <w:ind w:left="1287"/>
      <w:outlineLvl w:val="2"/>
    </w:pPr>
  </w:style>
  <w:style w:type="paragraph" w:styleId="Heading4">
    <w:name w:val="heading 4"/>
    <w:basedOn w:val="Normal"/>
    <w:next w:val="Normal"/>
    <w:link w:val="Heading4Char"/>
    <w:uiPriority w:val="9"/>
    <w:semiHidden/>
    <w:unhideWhenUsed/>
    <w:qFormat/>
    <w:rsid w:val="00650487"/>
    <w:pPr>
      <w:keepNext/>
      <w:keepLines/>
      <w:spacing w:before="200" w:after="0" w:line="360" w:lineRule="auto"/>
      <w:ind w:left="864" w:hanging="864"/>
      <w:contextualSpacing/>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C3"/>
    <w:rPr>
      <w:rFonts w:eastAsiaTheme="majorEastAsia" w:cstheme="majorBidi"/>
      <w:b/>
      <w:bCs/>
      <w:caps/>
      <w:sz w:val="24"/>
      <w:szCs w:val="28"/>
    </w:rPr>
  </w:style>
  <w:style w:type="character" w:customStyle="1" w:styleId="Heading2Char">
    <w:name w:val="Heading 2 Char"/>
    <w:basedOn w:val="DefaultParagraphFont"/>
    <w:link w:val="Heading2"/>
    <w:uiPriority w:val="9"/>
    <w:rsid w:val="00595CC6"/>
    <w:rPr>
      <w:rFonts w:ascii="Times New Roman" w:eastAsiaTheme="majorEastAsia" w:hAnsi="Times New Roman" w:cstheme="majorBidi"/>
      <w:b/>
      <w:bCs/>
      <w:i/>
      <w:color w:val="000000" w:themeColor="text1"/>
      <w:szCs w:val="26"/>
      <w:u w:val="single"/>
      <w:lang w:val="en-US"/>
    </w:rPr>
  </w:style>
  <w:style w:type="character" w:customStyle="1" w:styleId="Heading3Char">
    <w:name w:val="Heading 3 Char"/>
    <w:basedOn w:val="DefaultParagraphFont"/>
    <w:link w:val="Heading3"/>
    <w:uiPriority w:val="9"/>
    <w:rsid w:val="00500E63"/>
    <w:rPr>
      <w:rFonts w:ascii="Times New Roman" w:eastAsiaTheme="majorEastAsia" w:hAnsi="Times New Roman" w:cstheme="majorBidi"/>
      <w:b/>
      <w:bCs/>
      <w:i/>
      <w:iCs/>
      <w:lang w:val="en-US"/>
    </w:rPr>
  </w:style>
  <w:style w:type="character" w:customStyle="1" w:styleId="Heading4Char">
    <w:name w:val="Heading 4 Char"/>
    <w:basedOn w:val="DefaultParagraphFont"/>
    <w:link w:val="Heading4"/>
    <w:uiPriority w:val="9"/>
    <w:semiHidden/>
    <w:rsid w:val="00650487"/>
    <w:rPr>
      <w:rFonts w:eastAsiaTheme="majorEastAsia" w:cstheme="majorBidi"/>
      <w:b/>
      <w:bCs/>
      <w:i/>
      <w:iCs/>
    </w:rPr>
  </w:style>
  <w:style w:type="paragraph" w:styleId="Title">
    <w:name w:val="Title"/>
    <w:basedOn w:val="Normal"/>
    <w:next w:val="Normal"/>
    <w:link w:val="TitleChar"/>
    <w:uiPriority w:val="10"/>
    <w:qFormat/>
    <w:rsid w:val="00650487"/>
    <w:pPr>
      <w:pBdr>
        <w:top w:val="single" w:sz="6" w:space="5" w:color="4F81BD" w:themeColor="accent1" w:shadow="1"/>
        <w:left w:val="single" w:sz="6" w:space="5" w:color="4F81BD" w:themeColor="accent1" w:shadow="1"/>
        <w:bottom w:val="single" w:sz="6" w:space="5" w:color="4F81BD" w:themeColor="accent1" w:shadow="1"/>
        <w:right w:val="single" w:sz="6" w:space="5" w:color="4F81BD" w:themeColor="accent1" w:shadow="1"/>
      </w:pBdr>
      <w:spacing w:before="6000" w:after="6000" w:line="240" w:lineRule="auto"/>
      <w:contextualSpacing/>
      <w:jc w:val="center"/>
    </w:pPr>
    <w:rPr>
      <w:rFonts w:eastAsiaTheme="majorEastAsia" w:cstheme="majorBidi"/>
      <w:b/>
      <w:caps/>
      <w:spacing w:val="5"/>
      <w:kern w:val="28"/>
      <w:sz w:val="44"/>
      <w:szCs w:val="52"/>
    </w:rPr>
  </w:style>
  <w:style w:type="character" w:customStyle="1" w:styleId="TitleChar">
    <w:name w:val="Title Char"/>
    <w:basedOn w:val="DefaultParagraphFont"/>
    <w:link w:val="Title"/>
    <w:uiPriority w:val="10"/>
    <w:rsid w:val="00650487"/>
    <w:rPr>
      <w:rFonts w:eastAsiaTheme="majorEastAsia" w:cstheme="majorBidi"/>
      <w:b/>
      <w:caps/>
      <w:spacing w:val="5"/>
      <w:kern w:val="28"/>
      <w:sz w:val="44"/>
      <w:szCs w:val="52"/>
    </w:rPr>
  </w:style>
  <w:style w:type="paragraph" w:styleId="Caption">
    <w:name w:val="caption"/>
    <w:basedOn w:val="Normal"/>
    <w:next w:val="Normal"/>
    <w:uiPriority w:val="35"/>
    <w:unhideWhenUsed/>
    <w:qFormat/>
    <w:rsid w:val="00721594"/>
    <w:pPr>
      <w:spacing w:line="240" w:lineRule="auto"/>
      <w:jc w:val="center"/>
    </w:pPr>
    <w:rPr>
      <w:b/>
      <w:i/>
      <w:iCs/>
      <w:sz w:val="18"/>
      <w:szCs w:val="18"/>
    </w:rPr>
  </w:style>
  <w:style w:type="paragraph" w:customStyle="1" w:styleId="Puce1">
    <w:name w:val="Puce1"/>
    <w:basedOn w:val="ListParagraph"/>
    <w:link w:val="Puce1Car"/>
    <w:qFormat/>
    <w:rsid w:val="00EE7C16"/>
    <w:pPr>
      <w:numPr>
        <w:numId w:val="11"/>
      </w:numPr>
      <w:spacing w:after="120" w:line="240" w:lineRule="auto"/>
      <w:ind w:hanging="360"/>
    </w:pPr>
    <w:rPr>
      <w:rFonts w:eastAsia="Times New Roman" w:cs="Times New Roman"/>
      <w:szCs w:val="20"/>
      <w:lang w:eastAsia="fr-FR"/>
    </w:rPr>
  </w:style>
  <w:style w:type="character" w:customStyle="1" w:styleId="Puce1Car">
    <w:name w:val="Puce1 Car"/>
    <w:basedOn w:val="DefaultParagraphFont"/>
    <w:link w:val="Puce1"/>
    <w:rsid w:val="00EE7C16"/>
    <w:rPr>
      <w:rFonts w:eastAsia="Times New Roman" w:cs="Times New Roman"/>
      <w:sz w:val="20"/>
      <w:szCs w:val="20"/>
      <w:lang w:eastAsia="fr-FR"/>
    </w:rPr>
  </w:style>
  <w:style w:type="paragraph" w:styleId="ListParagraph">
    <w:name w:val="List Paragraph"/>
    <w:basedOn w:val="Normal"/>
    <w:uiPriority w:val="34"/>
    <w:qFormat/>
    <w:rsid w:val="00EE7C16"/>
    <w:pPr>
      <w:ind w:left="720"/>
      <w:contextualSpacing/>
    </w:pPr>
  </w:style>
  <w:style w:type="paragraph" w:customStyle="1" w:styleId="Liste1">
    <w:name w:val="Liste1"/>
    <w:basedOn w:val="ListBullet"/>
    <w:link w:val="Liste1Car"/>
    <w:qFormat/>
    <w:rsid w:val="00355BC6"/>
    <w:pPr>
      <w:numPr>
        <w:numId w:val="0"/>
      </w:numPr>
      <w:tabs>
        <w:tab w:val="num" w:pos="360"/>
      </w:tabs>
      <w:spacing w:after="120" w:line="360" w:lineRule="auto"/>
      <w:ind w:left="714" w:hanging="357"/>
    </w:pPr>
    <w:rPr>
      <w:lang w:val="en-GB"/>
    </w:rPr>
  </w:style>
  <w:style w:type="character" w:customStyle="1" w:styleId="Liste1Car">
    <w:name w:val="Liste1 Car"/>
    <w:basedOn w:val="DefaultParagraphFont"/>
    <w:link w:val="Liste1"/>
    <w:rsid w:val="00355BC6"/>
    <w:rPr>
      <w:sz w:val="20"/>
      <w:lang w:val="en-GB"/>
    </w:rPr>
  </w:style>
  <w:style w:type="paragraph" w:styleId="ListBullet">
    <w:name w:val="List Bullet"/>
    <w:basedOn w:val="Normal"/>
    <w:uiPriority w:val="99"/>
    <w:semiHidden/>
    <w:unhideWhenUsed/>
    <w:rsid w:val="00355BC6"/>
    <w:pPr>
      <w:numPr>
        <w:numId w:val="13"/>
      </w:numPr>
      <w:contextualSpacing/>
    </w:pPr>
  </w:style>
  <w:style w:type="paragraph" w:customStyle="1" w:styleId="Default">
    <w:name w:val="Default"/>
    <w:rsid w:val="0025414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63D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D6E"/>
    <w:rPr>
      <w:rFonts w:ascii="Times New Roman" w:hAnsi="Times New Roman"/>
      <w:sz w:val="20"/>
      <w:lang w:val="en-US"/>
    </w:rPr>
  </w:style>
  <w:style w:type="paragraph" w:styleId="Footer">
    <w:name w:val="footer"/>
    <w:basedOn w:val="Normal"/>
    <w:link w:val="FooterChar"/>
    <w:uiPriority w:val="99"/>
    <w:unhideWhenUsed/>
    <w:rsid w:val="00363D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D6E"/>
    <w:rPr>
      <w:rFonts w:ascii="Times New Roman" w:hAnsi="Times New Roman"/>
      <w:sz w:val="20"/>
      <w:lang w:val="en-US"/>
    </w:rPr>
  </w:style>
  <w:style w:type="paragraph" w:styleId="TOCHeading">
    <w:name w:val="TOC Heading"/>
    <w:basedOn w:val="Heading1"/>
    <w:next w:val="Normal"/>
    <w:uiPriority w:val="39"/>
    <w:unhideWhenUsed/>
    <w:qFormat/>
    <w:rsid w:val="000D31AC"/>
    <w:pPr>
      <w:numPr>
        <w:numId w:val="0"/>
      </w:numPr>
      <w:spacing w:before="240" w:after="0" w:line="259" w:lineRule="auto"/>
      <w:contextualSpacing w:val="0"/>
      <w:jc w:val="left"/>
      <w:outlineLvl w:val="9"/>
    </w:pPr>
    <w:rPr>
      <w:rFonts w:asciiTheme="majorHAnsi" w:hAnsiTheme="majorHAnsi"/>
      <w:b w:val="0"/>
      <w:bCs w:val="0"/>
      <w:caps w:val="0"/>
      <w:color w:val="365F91" w:themeColor="accent1" w:themeShade="BF"/>
      <w:sz w:val="32"/>
      <w:szCs w:val="32"/>
      <w:lang w:val="fr-FR" w:eastAsia="fr-FR"/>
    </w:rPr>
  </w:style>
  <w:style w:type="paragraph" w:styleId="TOC1">
    <w:name w:val="toc 1"/>
    <w:basedOn w:val="Normal"/>
    <w:next w:val="Normal"/>
    <w:autoRedefine/>
    <w:uiPriority w:val="39"/>
    <w:unhideWhenUsed/>
    <w:rsid w:val="000D31AC"/>
    <w:pPr>
      <w:spacing w:after="100"/>
    </w:pPr>
  </w:style>
  <w:style w:type="character" w:styleId="Hyperlink">
    <w:name w:val="Hyperlink"/>
    <w:basedOn w:val="DefaultParagraphFont"/>
    <w:uiPriority w:val="99"/>
    <w:unhideWhenUsed/>
    <w:rsid w:val="000D31AC"/>
    <w:rPr>
      <w:color w:val="0000FF" w:themeColor="hyperlink"/>
      <w:u w:val="single"/>
    </w:rPr>
  </w:style>
  <w:style w:type="paragraph" w:styleId="TOC2">
    <w:name w:val="toc 2"/>
    <w:basedOn w:val="Normal"/>
    <w:next w:val="Normal"/>
    <w:autoRedefine/>
    <w:uiPriority w:val="39"/>
    <w:unhideWhenUsed/>
    <w:rsid w:val="001011E8"/>
    <w:pPr>
      <w:spacing w:after="100"/>
      <w:ind w:left="220"/>
    </w:pPr>
  </w:style>
  <w:style w:type="paragraph" w:styleId="TOC3">
    <w:name w:val="toc 3"/>
    <w:basedOn w:val="Normal"/>
    <w:next w:val="Normal"/>
    <w:autoRedefine/>
    <w:uiPriority w:val="39"/>
    <w:unhideWhenUsed/>
    <w:rsid w:val="008B146E"/>
    <w:pPr>
      <w:spacing w:after="100"/>
      <w:ind w:left="440"/>
    </w:pPr>
  </w:style>
  <w:style w:type="character" w:styleId="PlaceholderText">
    <w:name w:val="Placeholder Text"/>
    <w:basedOn w:val="DefaultParagraphFont"/>
    <w:uiPriority w:val="99"/>
    <w:semiHidden/>
    <w:rsid w:val="00FA4060"/>
    <w:rPr>
      <w:color w:val="808080"/>
    </w:rPr>
  </w:style>
  <w:style w:type="table" w:styleId="TableGrid">
    <w:name w:val="Table Grid"/>
    <w:basedOn w:val="TableNormal"/>
    <w:uiPriority w:val="59"/>
    <w:rsid w:val="00271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F28AC"/>
  </w:style>
  <w:style w:type="character" w:styleId="Mention">
    <w:name w:val="Mention"/>
    <w:basedOn w:val="DefaultParagraphFont"/>
    <w:uiPriority w:val="99"/>
    <w:semiHidden/>
    <w:unhideWhenUsed/>
    <w:rsid w:val="00507F67"/>
    <w:rPr>
      <w:color w:val="2B579A"/>
      <w:shd w:val="clear" w:color="auto" w:fill="E6E6E6"/>
    </w:rPr>
  </w:style>
  <w:style w:type="paragraph" w:styleId="DocumentMap">
    <w:name w:val="Document Map"/>
    <w:basedOn w:val="Normal"/>
    <w:link w:val="DocumentMapChar"/>
    <w:uiPriority w:val="99"/>
    <w:semiHidden/>
    <w:unhideWhenUsed/>
    <w:rsid w:val="004C0AE6"/>
    <w:pPr>
      <w:spacing w:after="0" w:line="240" w:lineRule="auto"/>
    </w:pPr>
    <w:rPr>
      <w:sz w:val="24"/>
      <w:szCs w:val="24"/>
    </w:rPr>
  </w:style>
  <w:style w:type="character" w:customStyle="1" w:styleId="DocumentMapChar">
    <w:name w:val="Document Map Char"/>
    <w:basedOn w:val="DefaultParagraphFont"/>
    <w:link w:val="DocumentMap"/>
    <w:uiPriority w:val="99"/>
    <w:semiHidden/>
    <w:rsid w:val="004C0AE6"/>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968AE-14B8-4643-9EB5-BDC39547C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10</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Bertin, Matthieu Syvain Arthur</dc:creator>
  <cp:keywords/>
  <dc:description/>
  <cp:lastModifiedBy>Tom McDermott</cp:lastModifiedBy>
  <cp:revision>45</cp:revision>
  <cp:lastPrinted>2017-06-23T15:04:00Z</cp:lastPrinted>
  <dcterms:created xsi:type="dcterms:W3CDTF">2017-06-23T15:05:00Z</dcterms:created>
  <dcterms:modified xsi:type="dcterms:W3CDTF">2017-08-20T20:34:00Z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