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8"/>
          <w:sz w:val="44"/>
          <w:szCs w:val="44"/>
        </w:rPr>
        <w:t xml:space="preserve">Excel Analytics Report</w:t>
      </w:r>
    </w:p>
    <w:p>
      <w:pPr>
        <w:spacing w:after="300"/>
      </w:pPr>
      <w:r>
        <w:rPr>
          <w:color w:val="666666"/>
          <w:sz w:val="24"/>
          <w:szCs w:val="24"/>
        </w:rPr>
        <w:t xml:space="preserve">Section 1 of 7 — Digital Marketing &amp; Booking Performance, Jan 2025–Jun 2026</w:t>
      </w:r>
    </w:p>
    <w:p>
      <w:pPr>
        <w:pStyle w:val="Heading1"/>
        <w:spacing w:after="150" w:before="300"/>
      </w:pPr>
      <w:r>
        <w:rPr>
          <w:b/>
          <w:bCs/>
          <w:color w:val="1F4E78"/>
        </w:rPr>
        <w:t xml:space="preserve">1. Executive Summary</w:t>
      </w:r>
    </w:p>
    <w:p>
      <w:pPr>
        <w:spacing w:after="120"/>
      </w:pPr>
      <w:r>
        <w:t xml:space="preserve">Greenside Villas ran weekly Facebook, Instagram, Website, and Airbnb tracking across 18 months of active data (Jan 2025–Jun 2026, with 19 additional future weeks pre-built but not yet filled in). This report summarizes the Excel-based analysis layer built on top of that tracker: growth-rate modeling, engagement-rate benchmarking, and funnel conversion analysis, all driven by live formulas (SUMIFS, INDEX/MATCH, AVERAGEIFS) so the workbook recalculates automatically as new weeks are logged.</w:t>
      </w:r>
    </w:p>
    <w:p>
      <w:pPr>
        <w:spacing w:after="120"/>
      </w:pPr>
      <w:r>
        <w:t xml:space="preserve">The headline finding: paid/organic reach on Facebook fell sharply after an initial spike in January 2025, while Instagram became the stronger engagement channel later in the period. Booking conversion is very low relative to top-of-funnel traffic — a large volume of website and social reach converts into just 9 total Airbnb bookings across 18 months.</w:t>
      </w:r>
    </w:p>
    <w:p>
      <w:pPr>
        <w:pStyle w:val="Heading1"/>
        <w:spacing w:after="150" w:before="300"/>
      </w:pPr>
      <w:r>
        <w:rPr>
          <w:b/>
          <w:bCs/>
          <w:color w:val="1F4E78"/>
        </w:rPr>
        <w:t xml:space="preserve">2. Methodology</w:t>
      </w:r>
    </w:p>
    <w:p>
      <w:pPr>
        <w:pStyle w:val="ListParagraph"/>
        <w:numPr>
          <w:ilvl w:val="0"/>
          <w:numId w:val="1"/>
        </w:numPr>
        <w:spacing w:after="60"/>
      </w:pPr>
      <w:r>
        <w:t xml:space="preserve">Source data: four weekly-tracked channels (Facebook, Instagram, Website, Airbnb) already aggregated into a live 'Monthly Summary' pivot tab using SUMIFS/AVERAGEIFS formulas.</w:t>
      </w:r>
    </w:p>
    <w:p>
      <w:pPr>
        <w:pStyle w:val="ListParagraph"/>
        <w:numPr>
          <w:ilvl w:val="0"/>
          <w:numId w:val="1"/>
        </w:numPr>
        <w:spacing w:after="60"/>
      </w:pPr>
      <w:r>
        <w:t xml:space="preserve">New 'Excel Analysis' tab layers month-over-month growth rates, engagement rates (engagement ÷ reach), and funnel conversion rates (bookings ÷ views) on top of that summary — all formula-driven.</w:t>
      </w:r>
    </w:p>
    <w:p>
      <w:pPr>
        <w:pStyle w:val="ListParagraph"/>
        <w:numPr>
          <w:ilvl w:val="0"/>
          <w:numId w:val="1"/>
        </w:numPr>
        <w:spacing w:after="60"/>
      </w:pPr>
      <w:r>
        <w:t xml:space="preserve">Statistics in this report are scoped to the 18 months with real activity (Jan 2025–Jun 2026). Later rows (Jul 2026 onward) are pre-built template rows with placeholder zeros and are excluded from averages to avoid skewing results.</w:t>
      </w:r>
    </w:p>
    <w:p>
      <w:pPr>
        <w:pStyle w:val="Heading1"/>
        <w:spacing w:after="150" w:before="300"/>
      </w:pPr>
      <w:r>
        <w:rPr>
          <w:b/>
          <w:bCs/>
          <w:color w:val="1F4E78"/>
        </w:rPr>
        <w:t xml:space="preserve">3. Key Findings</w:t>
      </w:r>
    </w:p>
    <w:p>
      <w:pPr>
        <w:pStyle w:val="Heading2"/>
        <w:spacing w:after="100" w:before="200"/>
      </w:pPr>
      <w:r>
        <w:rPr>
          <w:b/>
          <w:bCs/>
          <w:color w:val="1F4E78"/>
        </w:rPr>
        <w:t xml:space="preserve">3.1 Reach Trend — Facebook vs Instagram</w:t>
      </w:r>
    </w:p>
    <w:p>
      <w:pPr>
        <w:spacing w:after="120"/>
      </w:pPr>
      <w:r>
        <w:t xml:space="preserve">Facebook reach peaked at 12,099 in January 2025, then collapsed by 97.7% the following month and never recovered — averaging just 1,219/month over the full period. Instagram followed a similar early spike (101,015 reach in Jan 2025, almost certainly a one-off boosted post) but sustained noticeably higher reach later in the period, averaging 5,929/month.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c>
          <w:tcPr>
            <w:tcW w:type="dxa" w:w="3500"/>
            <w:shd w:fill="1F4E78" w:val="clear"/>
          </w:tcPr>
          <w:p>
            <w:pPr>
              <w:jc w:val="center"/>
            </w:pPr>
            <w:r>
              <w:rPr>
                <w:b/>
                <w:bCs/>
                <w:color w:val="FFFFFF"/>
                <w:sz w:val="18"/>
                <w:szCs w:val="18"/>
              </w:rPr>
              <w:t xml:space="preserve">Metric</w:t>
            </w:r>
          </w:p>
        </w:tc>
        <w:tc>
          <w:tcPr>
            <w:tcW w:type="dxa" w:w="3000"/>
            <w:shd w:fill="1F4E78" w:val="clear"/>
          </w:tcPr>
          <w:p>
            <w:pPr>
              <w:jc w:val="center"/>
            </w:pPr>
            <w:r>
              <w:rPr>
                <w:b/>
                <w:bCs/>
                <w:color w:val="FFFFFF"/>
                <w:sz w:val="18"/>
                <w:szCs w:val="18"/>
              </w:rPr>
              <w:t xml:space="preserve">Facebook</w:t>
            </w:r>
          </w:p>
        </w:tc>
        <w:tc>
          <w:tcPr>
            <w:tcW w:type="dxa" w:w="3000"/>
            <w:shd w:fill="1F4E78" w:val="clear"/>
          </w:tcPr>
          <w:p>
            <w:pPr>
              <w:jc w:val="center"/>
            </w:pPr>
            <w:r>
              <w:rPr>
                <w:b/>
                <w:bCs/>
                <w:color w:val="FFFFFF"/>
                <w:sz w:val="18"/>
                <w:szCs w:val="18"/>
              </w:rPr>
              <w:t xml:space="preserve">Instagram</w:t>
            </w:r>
          </w:p>
        </w:tc>
      </w:tr>
      <w:tr>
        <w:tc>
          <w:tcPr>
            <w:tcW w:type="dxa" w:w="3500"/>
            <w:shd w:fill="FFFFFF" w:val="clear"/>
          </w:tcPr>
          <w:p>
            <w:pPr>
              <w:jc w:val="center"/>
            </w:pPr>
            <w:r>
              <w:rPr>
                <w:b w:val="false"/>
                <w:bCs w:val="false"/>
                <w:color w:val="000000"/>
                <w:sz w:val="18"/>
                <w:szCs w:val="18"/>
              </w:rPr>
              <w:t xml:space="preserve">Avg. monthly reach</w:t>
            </w:r>
          </w:p>
        </w:tc>
        <w:tc>
          <w:tcPr>
            <w:tcW w:type="dxa" w:w="3000"/>
            <w:shd w:fill="FFFFFF" w:val="clear"/>
          </w:tcPr>
          <w:p>
            <w:pPr>
              <w:jc w:val="center"/>
            </w:pPr>
            <w:r>
              <w:rPr>
                <w:b w:val="false"/>
                <w:bCs w:val="false"/>
                <w:color w:val="000000"/>
                <w:sz w:val="18"/>
                <w:szCs w:val="18"/>
              </w:rPr>
              <w:t xml:space="preserve">1,219</w:t>
            </w:r>
          </w:p>
        </w:tc>
        <w:tc>
          <w:tcPr>
            <w:tcW w:type="dxa" w:w="3000"/>
            <w:shd w:fill="FFFFFF" w:val="clear"/>
          </w:tcPr>
          <w:p>
            <w:pPr>
              <w:jc w:val="center"/>
            </w:pPr>
            <w:r>
              <w:rPr>
                <w:b w:val="false"/>
                <w:bCs w:val="false"/>
                <w:color w:val="000000"/>
                <w:sz w:val="18"/>
                <w:szCs w:val="18"/>
              </w:rPr>
              <w:t xml:space="preserve">5,929</w:t>
            </w:r>
          </w:p>
        </w:tc>
      </w:tr>
      <w:tr>
        <w:tc>
          <w:tcPr>
            <w:tcW w:type="dxa" w:w="3500"/>
            <w:shd w:fill="EAF1F8" w:val="clear"/>
          </w:tcPr>
          <w:p>
            <w:pPr>
              <w:jc w:val="center"/>
            </w:pPr>
            <w:r>
              <w:rPr>
                <w:b w:val="false"/>
                <w:bCs w:val="false"/>
                <w:color w:val="000000"/>
                <w:sz w:val="18"/>
                <w:szCs w:val="18"/>
              </w:rPr>
              <w:t xml:space="preserve">Peak month</w:t>
            </w:r>
          </w:p>
        </w:tc>
        <w:tc>
          <w:tcPr>
            <w:tcW w:type="dxa" w:w="3000"/>
            <w:shd w:fill="EAF1F8" w:val="clear"/>
          </w:tcPr>
          <w:p>
            <w:pPr>
              <w:jc w:val="center"/>
            </w:pPr>
            <w:r>
              <w:rPr>
                <w:b w:val="false"/>
                <w:bCs w:val="false"/>
                <w:color w:val="000000"/>
                <w:sz w:val="18"/>
                <w:szCs w:val="18"/>
              </w:rPr>
              <w:t xml:space="preserve">Jan 2025 (12,099)</w:t>
            </w:r>
          </w:p>
        </w:tc>
        <w:tc>
          <w:tcPr>
            <w:tcW w:type="dxa" w:w="3000"/>
            <w:shd w:fill="EAF1F8" w:val="clear"/>
          </w:tcPr>
          <w:p>
            <w:pPr>
              <w:jc w:val="center"/>
            </w:pPr>
            <w:r>
              <w:rPr>
                <w:b w:val="false"/>
                <w:bCs w:val="false"/>
                <w:color w:val="000000"/>
                <w:sz w:val="18"/>
                <w:szCs w:val="18"/>
              </w:rPr>
              <w:t xml:space="preserve">Jan 2025 (101,015)</w:t>
            </w:r>
          </w:p>
        </w:tc>
      </w:tr>
      <w:tr>
        <w:tc>
          <w:tcPr>
            <w:tcW w:type="dxa" w:w="3500"/>
            <w:shd w:fill="FFFFFF" w:val="clear"/>
          </w:tcPr>
          <w:p>
            <w:pPr>
              <w:jc w:val="center"/>
            </w:pPr>
            <w:r>
              <w:rPr>
                <w:b w:val="false"/>
                <w:bCs w:val="false"/>
                <w:color w:val="000000"/>
                <w:sz w:val="18"/>
                <w:szCs w:val="18"/>
              </w:rPr>
              <w:t xml:space="preserve">Avg. engagement rate</w:t>
            </w:r>
          </w:p>
        </w:tc>
        <w:tc>
          <w:tcPr>
            <w:tcW w:type="dxa" w:w="3000"/>
            <w:shd w:fill="FFFFFF" w:val="clear"/>
          </w:tcPr>
          <w:p>
            <w:pPr>
              <w:jc w:val="center"/>
            </w:pPr>
            <w:r>
              <w:rPr>
                <w:b w:val="false"/>
                <w:bCs w:val="false"/>
                <w:color w:val="000000"/>
                <w:sz w:val="18"/>
                <w:szCs w:val="18"/>
              </w:rPr>
              <w:t xml:space="preserve">44.4%</w:t>
            </w:r>
          </w:p>
        </w:tc>
        <w:tc>
          <w:tcPr>
            <w:tcW w:type="dxa" w:w="3000"/>
            <w:shd w:fill="FFFFFF" w:val="clear"/>
          </w:tcPr>
          <w:p>
            <w:pPr>
              <w:jc w:val="center"/>
            </w:pPr>
            <w:r>
              <w:rPr>
                <w:b w:val="false"/>
                <w:bCs w:val="false"/>
                <w:color w:val="000000"/>
                <w:sz w:val="18"/>
                <w:szCs w:val="18"/>
              </w:rPr>
              <w:t xml:space="preserve">55.5%</w:t>
            </w:r>
          </w:p>
        </w:tc>
      </w:tr>
    </w:tbl>
    <w:p>
      <w:pPr>
        <w:spacing w:after="150"/>
      </w:pPr>
    </w:p>
    <w:p>
      <w:pPr>
        <w:spacing w:after="120"/>
      </w:pPr>
      <w:r>
        <w:t xml:space="preserve">Note: the engagement-rate figures above are inflated by very small reach denominators in low-traffic months (e.g. a week with 5 people reached and 3 engagements reads as 60% engagement). They're directionally useful for comparing channels but shouldn't be read as industry-standard engagement-rate benchmarks.</w:t>
      </w:r>
    </w:p>
    <w:p>
      <w:pPr>
        <w:pStyle w:val="Heading2"/>
        <w:spacing w:after="100" w:before="200"/>
      </w:pPr>
      <w:r>
        <w:rPr>
          <w:b/>
          <w:bCs/>
          <w:color w:val="1F4E78"/>
        </w:rPr>
        <w:t xml:space="preserve">3.2 Website Traffic</w:t>
      </w:r>
    </w:p>
    <w:p>
      <w:pPr>
        <w:spacing w:after="120"/>
      </w:pPr>
      <w:r>
        <w:t xml:space="preserve">Website visitors grew steadily and consistently across the period — from 980/month in January 2025 to a peak of 15,400/month in May 2026, an average of 9,291/month overall. This is the one channel with a clear, sustained upward trend, and stands in contrast to the volatile social channels.</w:t>
      </w:r>
    </w:p>
    <w:p>
      <w:pPr>
        <w:pStyle w:val="Heading2"/>
        <w:spacing w:after="100" w:before="200"/>
      </w:pPr>
      <w:r>
        <w:rPr>
          <w:b/>
          <w:bCs/>
          <w:color w:val="1F4E78"/>
        </w:rPr>
        <w:t xml:space="preserve">3.3 Booking Funnel</w:t>
      </w:r>
    </w:p>
    <w:p>
      <w:pPr>
        <w:spacing w:after="120"/>
      </w:pPr>
      <w:r>
        <w:t xml:space="preserve">Across 18 months, Airbnb listings recorded 9 total bookings and $3,198 in total revenue, against thousands of monthly website visitors and social reach. The average booking conversion rate (bookings ÷ Airbnb views) was roughly 1.2%, and average revenue per booking was about $355. Ten of the 18 months recorded zero bookings entirely.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c>
          <w:tcPr>
            <w:tcW w:type="dxa" w:w="5500"/>
            <w:shd w:fill="1F4E78" w:val="clear"/>
          </w:tcPr>
          <w:p>
            <w:pPr>
              <w:jc w:val="center"/>
            </w:pPr>
            <w:r>
              <w:rPr>
                <w:b/>
                <w:bCs/>
                <w:color w:val="FFFFFF"/>
                <w:sz w:val="18"/>
                <w:szCs w:val="18"/>
              </w:rPr>
              <w:t xml:space="preserve">Metric</w:t>
            </w:r>
          </w:p>
        </w:tc>
        <w:tc>
          <w:tcPr>
            <w:tcW w:type="dxa" w:w="4000"/>
            <w:shd w:fill="1F4E78" w:val="clear"/>
          </w:tcPr>
          <w:p>
            <w:pPr>
              <w:jc w:val="center"/>
            </w:pPr>
            <w:r>
              <w:rPr>
                <w:b/>
                <w:bCs/>
                <w:color w:val="FFFFFF"/>
                <w:sz w:val="18"/>
                <w:szCs w:val="18"/>
              </w:rPr>
              <w:t xml:space="preserve">Value</w:t>
            </w:r>
          </w:p>
        </w:tc>
      </w:tr>
      <w:tr>
        <w:tc>
          <w:tcPr>
            <w:tcW w:type="dxa" w:w="5500"/>
            <w:shd w:fill="FFFFFF" w:val="clear"/>
          </w:tcPr>
          <w:p>
            <w:pPr>
              <w:jc w:val="center"/>
            </w:pPr>
            <w:r>
              <w:rPr>
                <w:b w:val="false"/>
                <w:bCs w:val="false"/>
                <w:color w:val="000000"/>
                <w:sz w:val="18"/>
                <w:szCs w:val="18"/>
              </w:rPr>
              <w:t xml:space="preserve">Total bookings (18 months)</w:t>
            </w:r>
          </w:p>
        </w:tc>
        <w:tc>
          <w:tcPr>
            <w:tcW w:type="dxa" w:w="4000"/>
            <w:shd w:fill="FFFFFF" w:val="clear"/>
          </w:tcPr>
          <w:p>
            <w:pPr>
              <w:jc w:val="center"/>
            </w:pPr>
            <w:r>
              <w:rPr>
                <w:b w:val="false"/>
                <w:bCs w:val="false"/>
                <w:color w:val="000000"/>
                <w:sz w:val="18"/>
                <w:szCs w:val="18"/>
              </w:rPr>
              <w:t xml:space="preserve">9</w:t>
            </w:r>
          </w:p>
        </w:tc>
      </w:tr>
      <w:tr>
        <w:tc>
          <w:tcPr>
            <w:tcW w:type="dxa" w:w="5500"/>
            <w:shd w:fill="EAF1F8" w:val="clear"/>
          </w:tcPr>
          <w:p>
            <w:pPr>
              <w:jc w:val="center"/>
            </w:pPr>
            <w:r>
              <w:rPr>
                <w:b w:val="false"/>
                <w:bCs w:val="false"/>
                <w:color w:val="000000"/>
                <w:sz w:val="18"/>
                <w:szCs w:val="18"/>
              </w:rPr>
              <w:t xml:space="preserve">Total revenue</w:t>
            </w:r>
          </w:p>
        </w:tc>
        <w:tc>
          <w:tcPr>
            <w:tcW w:type="dxa" w:w="4000"/>
            <w:shd w:fill="EAF1F8" w:val="clear"/>
          </w:tcPr>
          <w:p>
            <w:pPr>
              <w:jc w:val="center"/>
            </w:pPr>
            <w:r>
              <w:rPr>
                <w:b w:val="false"/>
                <w:bCs w:val="false"/>
                <w:color w:val="000000"/>
                <w:sz w:val="18"/>
                <w:szCs w:val="18"/>
              </w:rPr>
              <w:t xml:space="preserve">$3,198</w:t>
            </w:r>
          </w:p>
        </w:tc>
      </w:tr>
      <w:tr>
        <w:tc>
          <w:tcPr>
            <w:tcW w:type="dxa" w:w="5500"/>
            <w:shd w:fill="FFFFFF" w:val="clear"/>
          </w:tcPr>
          <w:p>
            <w:pPr>
              <w:jc w:val="center"/>
            </w:pPr>
            <w:r>
              <w:rPr>
                <w:b w:val="false"/>
                <w:bCs w:val="false"/>
                <w:color w:val="000000"/>
                <w:sz w:val="18"/>
                <w:szCs w:val="18"/>
              </w:rPr>
              <w:t xml:space="preserve">Avg. revenue per booking</w:t>
            </w:r>
          </w:p>
        </w:tc>
        <w:tc>
          <w:tcPr>
            <w:tcW w:type="dxa" w:w="4000"/>
            <w:shd w:fill="FFFFFF" w:val="clear"/>
          </w:tcPr>
          <w:p>
            <w:pPr>
              <w:jc w:val="center"/>
            </w:pPr>
            <w:r>
              <w:rPr>
                <w:b w:val="false"/>
                <w:bCs w:val="false"/>
                <w:color w:val="000000"/>
                <w:sz w:val="18"/>
                <w:szCs w:val="18"/>
              </w:rPr>
              <w:t xml:space="preserve">$355</w:t>
            </w:r>
          </w:p>
        </w:tc>
      </w:tr>
      <w:tr>
        <w:tc>
          <w:tcPr>
            <w:tcW w:type="dxa" w:w="5500"/>
            <w:shd w:fill="EAF1F8" w:val="clear"/>
          </w:tcPr>
          <w:p>
            <w:pPr>
              <w:jc w:val="center"/>
            </w:pPr>
            <w:r>
              <w:rPr>
                <w:b w:val="false"/>
                <w:bCs w:val="false"/>
                <w:color w:val="000000"/>
                <w:sz w:val="18"/>
                <w:szCs w:val="18"/>
              </w:rPr>
              <w:t xml:space="preserve">Best revenue month</w:t>
            </w:r>
          </w:p>
        </w:tc>
        <w:tc>
          <w:tcPr>
            <w:tcW w:type="dxa" w:w="4000"/>
            <w:shd w:fill="EAF1F8" w:val="clear"/>
          </w:tcPr>
          <w:p>
            <w:pPr>
              <w:jc w:val="center"/>
            </w:pPr>
            <w:r>
              <w:rPr>
                <w:b w:val="false"/>
                <w:bCs w:val="false"/>
                <w:color w:val="000000"/>
                <w:sz w:val="18"/>
                <w:szCs w:val="18"/>
              </w:rPr>
              <w:t xml:space="preserve">Aug 2025 ($891)</w:t>
            </w:r>
          </w:p>
        </w:tc>
      </w:tr>
      <w:tr>
        <w:tc>
          <w:tcPr>
            <w:tcW w:type="dxa" w:w="5500"/>
            <w:shd w:fill="FFFFFF" w:val="clear"/>
          </w:tcPr>
          <w:p>
            <w:pPr>
              <w:jc w:val="center"/>
            </w:pPr>
            <w:r>
              <w:rPr>
                <w:b w:val="false"/>
                <w:bCs w:val="false"/>
                <w:color w:val="000000"/>
                <w:sz w:val="18"/>
                <w:szCs w:val="18"/>
              </w:rPr>
              <w:t xml:space="preserve">Months with zero bookings</w:t>
            </w:r>
          </w:p>
        </w:tc>
        <w:tc>
          <w:tcPr>
            <w:tcW w:type="dxa" w:w="4000"/>
            <w:shd w:fill="FFFFFF" w:val="clear"/>
          </w:tcPr>
          <w:p>
            <w:pPr>
              <w:jc w:val="center"/>
            </w:pPr>
            <w:r>
              <w:rPr>
                <w:b w:val="false"/>
                <w:bCs w:val="false"/>
                <w:color w:val="000000"/>
                <w:sz w:val="18"/>
                <w:szCs w:val="18"/>
              </w:rPr>
              <w:t xml:space="preserve">10 of 18</w:t>
            </w:r>
          </w:p>
        </w:tc>
      </w:tr>
    </w:tbl>
    <w:p>
      <w:pPr>
        <w:pStyle w:val="Heading1"/>
        <w:spacing w:after="150" w:before="300"/>
      </w:pPr>
      <w:r>
        <w:rPr>
          <w:b/>
          <w:bCs/>
          <w:color w:val="1F4E78"/>
        </w:rPr>
        <w:t xml:space="preserve">4. Recommendations</w:t>
      </w:r>
    </w:p>
    <w:p>
      <w:pPr>
        <w:pStyle w:val="ListParagraph"/>
        <w:numPr>
          <w:ilvl w:val="0"/>
          <w:numId w:val="1"/>
        </w:numPr>
        <w:spacing w:after="60"/>
      </w:pPr>
      <w:r>
        <w:t xml:space="preserve">Investigate the Facebook reach collapse after Jan 2025 — check for a change in posting frequency, ad spend, or algorithm/account issue rather than assuming organic decline.</w:t>
      </w:r>
    </w:p>
    <w:p>
      <w:pPr>
        <w:pStyle w:val="ListParagraph"/>
        <w:numPr>
          <w:ilvl w:val="0"/>
          <w:numId w:val="1"/>
        </w:numPr>
        <w:spacing w:after="60"/>
      </w:pPr>
      <w:r>
        <w:t xml:space="preserve">Shift more content effort toward Instagram and the website, the two channels showing durable performance, rather than splitting attention evenly across all four.</w:t>
      </w:r>
    </w:p>
    <w:p>
      <w:pPr>
        <w:pStyle w:val="ListParagraph"/>
        <w:numPr>
          <w:ilvl w:val="0"/>
          <w:numId w:val="1"/>
        </w:numPr>
        <w:spacing w:after="60"/>
      </w:pPr>
      <w:r>
        <w:t xml:space="preserve">Treat the January 2025 reach spikes on both platforms as outliers when setting targets — they appear driven by one boosted post rather than repeatable organic growth.</w:t>
      </w:r>
    </w:p>
    <w:p>
      <w:pPr>
        <w:pStyle w:val="ListParagraph"/>
        <w:numPr>
          <w:ilvl w:val="0"/>
          <w:numId w:val="1"/>
        </w:numPr>
        <w:spacing w:after="60"/>
      </w:pPr>
      <w:r>
        <w:t xml:space="preserve">Address the funnel bottleneck directly: with website traffic in the thousands but bookings in single digits, the highest-leverage fix is likely the Airbnb listing/inquiry conversion path, not top-of-funnel reach.</w:t>
      </w:r>
    </w:p>
    <w:p>
      <w:pPr>
        <w:pStyle w:val="Heading1"/>
        <w:spacing w:after="150" w:before="300"/>
      </w:pPr>
      <w:r>
        <w:rPr>
          <w:b/>
          <w:bCs/>
          <w:color w:val="1F4E78"/>
        </w:rPr>
        <w:t xml:space="preserve">5. Data Limitations</w:t>
      </w:r>
    </w:p>
    <w:p>
      <w:pPr>
        <w:pStyle w:val="ListParagraph"/>
        <w:numPr>
          <w:ilvl w:val="0"/>
          <w:numId w:val="1"/>
        </w:numPr>
        <w:spacing w:after="60"/>
      </w:pPr>
      <w:r>
        <w:t xml:space="preserve">Google Business Profile and Reviews sheets contain no historical data — template only.</w:t>
      </w:r>
    </w:p>
    <w:p>
      <w:pPr>
        <w:pStyle w:val="ListParagraph"/>
        <w:numPr>
          <w:ilvl w:val="0"/>
          <w:numId w:val="1"/>
        </w:numPr>
        <w:spacing w:after="60"/>
      </w:pPr>
      <w:r>
        <w:t xml:space="preserve">19 future weeks (Jul 2026 onward) are pre-built placeholder rows with zeros, excluded from all averages in this report.</w:t>
      </w:r>
    </w:p>
    <w:p>
      <w:pPr>
        <w:pStyle w:val="ListParagraph"/>
        <w:numPr>
          <w:ilvl w:val="0"/>
          <w:numId w:val="1"/>
        </w:numPr>
        <w:spacing w:after="60"/>
      </w:pPr>
      <w:r>
        <w:t xml:space="preserve">Engagement-rate calculations can be distorted by very low-reach weeks; treat as directional, not absolute.</w:t>
      </w:r>
    </w:p>
    <w:p>
      <w:pPr>
        <w:spacing w:before="300"/>
      </w:pPr>
      <w:r>
        <w:rPr>
          <w:i/>
          <w:iCs/>
          <w:color w:val="666666"/>
          <w:sz w:val="18"/>
          <w:szCs w:val="18"/>
        </w:rPr>
        <w:t xml:space="preserve">Companion files: Greenside_Excel_Analytics.xlsx (data/formulas) and Excel_Insights_Summary.md (one-page takeaways).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666666"/>
        <w:sz w:val="16"/>
        <w:szCs w:val="16"/>
      </w:rPr>
      <w:t xml:space="preserve">Greenside Villas — Digital Marketing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2026-07-15T16:03:56.861Z</dcterms:created>
  <dcterms:modified xsi:type="dcterms:W3CDTF">2026-07-15T16:03:56.870Z</dcterms:modified>
</cp:coreProperties>
</file>

<file path=docProps/custom.xml><?xml version="1.0" encoding="utf-8"?>
<Properties xmlns="http://schemas.openxmlformats.org/officeDocument/2006/custom-properties" xmlns:vt="http://schemas.openxmlformats.org/officeDocument/2006/docPropsVTypes"/>
</file>