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BRIEFING DO PROJETO INTEGRADOR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Disciplina: Hands-On Fundamentos de Dados e Analytics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Módulo 1 – MBA em Engenharia de Dados – Universidade Presbiteriana Mackenzie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Mentoria: Prof. Gustavo Ferreira</w:t>
      </w:r>
    </w:p>
    <w:p>
      <w:pPr>
        <w:spacing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Projeto Kenzie 360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Documento consolidado — Sprints 1, 2 e 3 · Seções 1 a 12</w:t>
      </w:r>
    </w:p>
    <w:p>
      <w:pPr>
        <w:spacing w:after="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Sobre este documento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briefing completo do projeto: reúne, em um único arquivo, as seções entregues ao longo das três sprints. As Seções 1 a 4 vêm da Sprint 1 (identificação, problema, objetivos e dados); as Seções 5 a 7, da Sprint 2 (Data Lake, análise exploratória e governança); as Seções 8 a 12, da Sprint 3 (MVP, ciclo de aprendizado, auditoria e modelagem preditiva).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texto das seções 5 a 12 é idêntico ao dos briefings originais. Nas Seções 1 a 4, três pontos foram atualizados para que o documento não se contradiga: os números e os nomes de arquivo da base passaram a refletir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versão 8</w:t>
      </w:r>
      <w:r>
        <w:rPr>
          <w:rFonts w:ascii="Calibri" w:cs="Calibri" w:eastAsia="Calibri" w:hAnsi="Calibri"/>
          <w:sz w:val="22"/>
          <w:szCs w:val="22"/>
        </w:rPr>
        <w:t xml:space="preserve">, que substituiu a versão original após a recalibração descrita na Seção 6.8; a descrição da base ganhou uma nota apontando essa substituição; e o terceiro objetivo específico, que na Sprint 1 deixava a variável-alvo do modelo em aberto, agora remete à Seção 11, onde ela foi definida. Nenhuma outra alteração de conteúdo foi feita.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versões da análise circularam durante o projeto. Os números aqui apresentados são os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revisão publicada na Sprint 3</w:t>
      </w:r>
      <w:r>
        <w:rPr>
          <w:rFonts w:ascii="Calibri" w:cs="Calibri" w:eastAsia="Calibri" w:hAnsi="Calibri"/>
          <w:sz w:val="22"/>
          <w:szCs w:val="22"/>
        </w:rPr>
        <w:t xml:space="preserve">, posterior à auditoria do gerador da base: a Seção 10 explica o que mudou, por que mudou e quais conclusões da Sprint 2 não sobreviveram à correção.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5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Seção</w:t>
            </w:r>
          </w:p>
        </w:tc>
        <w:tc>
          <w:tcPr>
            <w:tcW w:type="dxa" w:w="6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Identificação do grupo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Descrição do problema de negócio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Objetivos do projeto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utilizados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Arquitetura e implementação do Data Lake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exploratória de dados e métricas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Governança, integração contínua e infraestrutura como código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Definição do MVP e levantamento de requisitos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Arquitetura do ciclo de aprendizado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do gerador e revisão da análise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Modelagem preditiva — versão inicial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IDENTIFICAÇÃO DO GRUPO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 do Projeto:</w:t>
      </w:r>
      <w:r>
        <w:rPr>
          <w:rFonts w:ascii="Calibri" w:cs="Calibri" w:eastAsia="Calibri" w:hAnsi="Calibri"/>
          <w:sz w:val="22"/>
          <w:szCs w:val="22"/>
        </w:rPr>
        <w:t xml:space="preserve"> Projeto Kenzie 360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Setor de Atuação:</w:t>
      </w:r>
      <w:r>
        <w:rPr>
          <w:rFonts w:ascii="Calibri" w:cs="Calibri" w:eastAsia="Calibri" w:hAnsi="Calibri"/>
          <w:sz w:val="22"/>
          <w:szCs w:val="22"/>
        </w:rPr>
        <w:t xml:space="preserve"> ☐ Varejo   ☐ Saúde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☒ Finanças</w:t>
      </w:r>
      <w:r>
        <w:rPr>
          <w:rFonts w:ascii="Calibri" w:cs="Calibri" w:eastAsia="Calibri" w:hAnsi="Calibri"/>
          <w:sz w:val="22"/>
          <w:szCs w:val="22"/>
        </w:rPr>
        <w:t xml:space="preserve">   ☐ Logística   ☐ Setor Público   ☐ Outro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3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Ilan David Schapira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ilanschapira@gmail.com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linkedin.com/in/ilan-david-s-156412135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Giovanna Caetano Protti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giovannacprotti37@gmail.com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linkedin.com/in/giovanna-caetano-protti-3a8859235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Jonathas Borges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jonathasborges94@gmail.com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linkedin.com/in/jonathas-borges-0827a0185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DESCRIÇÃO DO PROBLEMA DE NEGÓCIO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Qual é o problema que vocês pretendem resolver?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“Kenzie”, bot de atendimento do banco, atende todos os correntistas, com forte concentração no público CDE (Conta de Domiciliado no Exterior – clientes não residentes). No entanto, a versão atual (V1) opera de forma reativa e “sem memória”: cada interação é tratada de maneira isolada, sem reter o histórico conversacional do cliente e sem transformar esses diálogos em conhecimento. Como consequência, o banco não consegue enxergar padrões nas dores recorrentes de sua base – com destaque para o público CDE, que enfrenta dificuldades com documentação no onboarding digital, dúvidas em operações de câmbio e problemas no primeiro acesso a partir do exterior, mas também abrangendo demandas comuns a todos os correntistas, como bloqueios inesperados de TED/PIX, alterações abruptas de limites e dúvidas sobre o portfólio (cartão de crédito e CDB). O problema central é a ausência de um “cérebro” analítico capaz de reter o histórico, gerar insights de negócio e antecipar tendências a partir dos atendimentos.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Qual é o impacto do problema para o negócio?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fricção concentrada nas etapas de onboarding e nas operações do dia a dia eleva a taxa de abandono – de forma crítica entre os clientes não residentes – e reduz a ativação das contas, comprometendo a adesão aos únicos produtos ofertados (cartão de crédito e CDB). Além disso, a falta de aprendizado a partir das conversas aumenta o volume de transferências para atendimento humano, elevando o custo operacional, e faz o banco perder oportunidades de cross-sell e de retenção em toda a base de correntistas. Em termos estratégicos, atendimentos que não viram dado são receita e inteligência competitiva desperdiçadas: sem histórico estruturado, o banco decide no escuro sobre um público de alto valor e difícil aquisição.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OBJETIVOS DO PROJETO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Objetivo Geral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Estruturar a versão V2 da Kenzie, bot de atendimento aos correntistas do banco (com foco prioritário no público CDE), dotando-a de um “cérebro” analítico capaz de reter o histórico conversacional, gerar insights de negócio e antecipar tendências, por meio de uma arquitetura de dados em nuvem (GCP) que sustente análise exploratória, modelagem preditiva/classificatória (NLP) e visualização executiva.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Construir e disponibilizar uma base estruturada de logs conversacionais completos (histórico turno a turno) do público atendido, alimentando um Data Lake em nuvem com camadas RAW, TRUSTED e CURATED sob uma arquitetura Lambda na GCP.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Realizar Análise Exploratória de Dados (EDA) para identificar as dores recorrentes, padrões de sentimento, sazonalidade e principais motivos de transferência para atendimento humano.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Desenvolver um modelo preditivo/classificatório de NLP sobre os atendimentos, gerando inteligência acionável de negócio. O objetivo e a variável-alvo, deixados em aberto na Sprint 1, foram definidos na Sprint 3 e estão detalhados na Seção 11.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Construir um dashboard executivo no Google Looker Studio com os principais KPIs de atendimento e insights, apoiando decisões das áreas de negócio e produto.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Aplicar princípios de governança de dados (catálogo, políticas de acesso e LGPD simulada) adequados ao tratamento de dados de clientes não residentes.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DADOS UTILIZADOS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Fonte de 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Base de dados sintética (fictícia), construída pela equipe como um “gêmeo estatístico” da operação: calibrada para reproduzir os padrões reais do atendimento — volume, mix de dores, taxa de resolução do bot, satisfação, desfechos (resolução pelo bot, transferência para atendimento humano, abandono e ruído) e sentimento. Não utiliza nenhum dado pessoal ou registro real de clientes, garantindo total conformidade com a LGPD. A modelagem baseou-se no conhecimento de negócio da equipe sobre os cenários reais enfrentados pelo banco, tendo como referência a operação de atendimento via WhatsApp (plataforma Take Blip).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logs são conversacionais completos (histórico turno a turno entre Cliente, a assistente Kenzie e o Atendente Humano), contemplam três segmentos — aproximadamente 70% de clientes CDE (não residentes), 27% de correntistas nacionais e 3% de PJ —, nove arquétipos de cliente (com estilos distintos de escrita: formalidade, abreviações, emojis, erros de digitação) e três idiomas (português, inglês e espanhol). O sentimento é derivado do próprio texto das mensagens, permitindo modelagem de NLP legítima, sem vazamento de informação.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Governança aplicada:</w:t>
      </w:r>
      <w:r>
        <w:rPr>
          <w:rFonts w:ascii="Calibri" w:cs="Calibri" w:eastAsia="Calibri" w:hAnsi="Calibri"/>
          <w:sz w:val="22"/>
          <w:szCs w:val="22"/>
        </w:rPr>
        <w:t xml:space="preserve"> reproduzindo um export real, o cliente eventualmente digita dados pessoais no chat (CPF, telefone, e-mail, conta). Um pipeline de mascaramento substitui esses valores por marcadores ([CPF], [TELEFONE], [EMAIL], [CONTA]) antes da persistência, e o identificador do cliente é pseudonimizado por hash — LGPD by design. O fluxo conversacional completo está especificado no documento “Fluxo Conversacional da Kenzie”.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base descrita abaixo é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versão 8</w:t>
      </w:r>
      <w:r>
        <w:rPr>
          <w:rFonts w:ascii="Calibri" w:cs="Calibri" w:eastAsia="Calibri" w:hAnsi="Calibri"/>
          <w:sz w:val="22"/>
          <w:szCs w:val="22"/>
        </w:rPr>
        <w:t xml:space="preserve">, resultado da recalibração motivada pelos achados da EDA e documentada na Seção 6.8. É a base que sustenta todas as análises e o modelo apresentados neste documento.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Descrição da base (duas tabelas)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Dimensões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dataset_kenzie360_atendimentos_v8.csv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36.000 linhas × 30 colunas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Mensagens (histórico)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dataset_kenzie360_mensagens_v8.csv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405.073 linhas × 12 colunas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distintos:</w:t>
      </w:r>
      <w:r>
        <w:rPr>
          <w:rFonts w:ascii="Calibri" w:cs="Calibri" w:eastAsia="Calibri" w:hAnsi="Calibri"/>
          <w:sz w:val="22"/>
          <w:szCs w:val="22"/>
        </w:rPr>
        <w:t xml:space="preserve"> 15.000 — 39,8% com mais de um atendimento e 17,8% de reaberturas.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Período coberto:</w:t>
      </w:r>
      <w:r>
        <w:rPr>
          <w:rFonts w:ascii="Calibri" w:cs="Calibri" w:eastAsia="Calibri" w:hAnsi="Calibri"/>
          <w:sz w:val="22"/>
          <w:szCs w:val="22"/>
        </w:rPr>
        <w:t xml:space="preserve"> 17/02/2026 a 17/08/2026 (182 dias, média de 197,8 conversas por dia).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Principais variáveis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4350"/>
        <w:gridCol w:w="145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4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Tratamento?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segmento_cliente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CDE, Correntista Nacional ou PJ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arquetipo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do cliente (9 arquétipos)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idioma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PT / EN / ES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Receptivo ou Ativo (disparo do banco)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categoria_assunto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Dor/tema do cliente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(mensagens)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fala do diálogo — base para NLP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(limpeza)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fala do cliente, derivado do texto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status_conversa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Desfecho (10 estados: resolvida, abandonada, opt-out, ruído…)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resolvida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/ Não / Desconhecido / Não aplicável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transferencia_iniciada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 escalou o caso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humano_atendeu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 efetivamente assumiu (fila x atendimento)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area_encaminhada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que recebeu o caso (triagem)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tipo_midia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/ imagem / áudio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reabertura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voltou após caso não resolvido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csat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Numérico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 de satisfação (1–5), ~70% em branco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(nulos)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contem_dado_mascarado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Booleano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Mensagem teve PII mascarada (LGPD)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Tabela de conversas (30 colunas):</w:t>
      </w:r>
      <w:r>
        <w:rPr>
          <w:rFonts w:ascii="Calibri" w:cs="Calibri" w:eastAsia="Calibri" w:hAnsi="Calibri"/>
          <w:sz w:val="22"/>
          <w:szCs w:val="22"/>
        </w:rPr>
        <w:t xml:space="preserve"> id_conversa, id_cliente (pseudonimizado), segmento_cliente, arquetipo, perfil_tecnologico, faixa_etaria, idioma, origem, data_hora, canal_entrada, canal_humano, categoria_assunto, produto_relacionado, primeira_mensagem_cliente, sentimento_geral, resolvido_bot, transferencia_iniciada, humano_atendeu, status_conversa, resolvida, area_encaminhada, motivo_transferencia, num_mensagens, num_mensagens_cliente, duracao_seg, csat, qtd_dados_mascarados, transcricao_completa, contatos_previos e reabertura.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Tabela de mensagens (12 colunas):</w:t>
      </w:r>
      <w:r>
        <w:rPr>
          <w:rFonts w:ascii="Calibri" w:cs="Calibri" w:eastAsia="Calibri" w:hAnsi="Calibri"/>
          <w:sz w:val="22"/>
          <w:szCs w:val="22"/>
        </w:rPr>
        <w:t xml:space="preserve"> id_conversa, id_cliente, segmento_cliente, idioma, categoria_assunto, ordem, timestamp, remetente (Cliente / Kenzie / Atendente Humano), texto, sentimento, tipo_midia e contem_dado_mascarado. A transcrição segue formato padronizado: “[NN] Remetente: texto”, separado por “ || ”.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ARQUITETURA E IMPLEMENTAÇÃO DO DATA LAKE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Da arquitetura lógica à implementação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Sprint 1 desenhou a arquitetura Lambda na GCP, mapeando as camadas Batch, Speed e Serving ao modelo RAW → TRUSTED → CURATED. A Sprint 2 implementou esse desenho no BigQuery.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0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 do Lake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(bronze)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kenzie360_bronze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imutável da origem, tudo em STRING, com rastreabilidade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TRUSTED (silver)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kenzie360_silver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Tipado, deduplicado, particionado, PII tratada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CURATED (gold)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kenzie360_gold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views e 1 dimensão, cada uma justificada por um achado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bucket gs://kenzie360-raw-ids26 no Cloud Storage guarda os arquivos originais antes da ingestão, versionados por data. Projeto GCP: kenzie-360-mba, região us-central1.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Decisões técnicas e suas justificativas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decisões abaixo foram tomadas a partir da inspeção da base, não por convenção.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data_hora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origem não declara fuso horário. Converter para UTC seria inventar informação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 resolvida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4 valores (Sim/Não/Desconhecido/Não aplicável). Tratar como booleano perderia a distinção entre 'não resolveu' e 'não se aplica'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Particionamento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data_ref (DATE)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partição, cada consulta varreria as 405 mil mensagens inteiras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Clustering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segmento, categoria, idioma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São exatamente os filtros mais usados na análise e no dashboard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gold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Views, não tabelas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ocupam armazenamento e nunca ficam defasadas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Conversões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SAFE_CAST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inesperado vira NULL e aparece na validação, em vez de quebrar a carga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O detalhe que quase corrompeu a ingestão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inspeção da base encontrou 4.361 linhas na tabela de atendimentos e 4.842 na de mensagens contendo ponto e vírgula dentro de campos de texto — o mesmo caractere usado como separador do arquivo.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Exemplo real: "Encaminhei para a área de Mesa de Limites; retornaremos em até 48h."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Esses campos vêm corretamente protegidos por aspas duplas, e a prova é que o número de linhas com aspas coincide exatamente com o de linhas com campo extra. A carga só funciona porque declara o caractere de aspas explicitamente. Sem isso, os registros quebrariam em colunas adicionais sem gerar erro — corrupção silenciosa.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Modelagem dimensional para consumo analítico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Além das três camadas do Lake, foram implementados os dois modelos de consumo previstos nos entregáveis da disciplina, ambos na camada CURATED.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 Schema — </w:t>
      </w:r>
      <w:r>
        <w:rPr>
          <w:rFonts w:ascii="Calibri" w:cs="Calibri" w:eastAsia="Calibri" w:hAnsi="Calibri"/>
          <w:sz w:val="22"/>
          <w:szCs w:val="22"/>
        </w:rPr>
        <w:t xml:space="preserve">modelo estrela com grão de um atendimento, composto por uma tabela fato e seis dimensões conformes: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Registros</w:t>
            </w:r>
          </w:p>
        </w:tc>
        <w:tc>
          <w:tcPr>
            <w:tcW w:type="dxa" w:w="5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fato_atendimento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36.000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Grão de um atendimento. Métricas, flags e as seis chaves estrangeiras. Particionada por data e clusterizada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dim_tempo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182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Calendário completo, inclusive dias sem movimento, para séries temporais sem lacunas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dim_cliente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e métricas de relacionamento: recorrência, primeiro e último contato, faixa de recorrência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dim_assunto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Categoria, produto e a classificação por tipo de ação exigida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dim_canal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 de entrada, canal humano e origem do contato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dim_desfecho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Status, cluster de satisfação e modo de falha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dim_motivo_transferencia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Motivo, área de encaminhamento e natureza da limitação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 dimensões carregam a inteligência da análise, e não apenas rótulos. A dimensão de assunto já traz o tipo de demanda — informacional, misto ou transacional — que foi o corte revelador da causa do problema. A de desfecho já traz o cluster de satisfação, porque a análise mostrou que o CSAT é bimodal. A de motivo classifica a natureza da limitação: falta de permissão transacional ou necessidade de julgamento humano. Isso evita que cada consulta recalcule as mesmas regras de negócio.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dimensão possui um membro "não aplicável" com chave zero, garantindo que nenhuma linha da fato fique órfã. A validação automática confirmou integridade referencial completa: zero órfãs nas seis dimensões.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Wide Table — </w:t>
      </w:r>
      <w:r>
        <w:rPr>
          <w:rFonts w:ascii="Calibri" w:cs="Calibri" w:eastAsia="Calibri" w:hAnsi="Calibri"/>
          <w:sz w:val="22"/>
          <w:szCs w:val="22"/>
        </w:rPr>
        <w:t xml:space="preserve">a view vw_wide_atendimento entrega o mesmo modelo já desnormalizado, com todas as dimensões resolvidas numa única linha por atendimento. Dispensa junções para treino de modelos e exploração rápida, e é também o caminho mais direto para conectar o Looker Studio, por não exigir configuração de relacionamentos.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Chaves substitutas: </w:t>
      </w:r>
      <w:r>
        <w:rPr>
          <w:rFonts w:ascii="Calibri" w:cs="Calibri" w:eastAsia="Calibri" w:hAnsi="Calibri"/>
          <w:sz w:val="22"/>
          <w:szCs w:val="22"/>
        </w:rPr>
        <w:t xml:space="preserve">geradas por função de hash sobre a chave natural, e não por sequência numérica. A consequência é que recarregar a base produz exatamente as mesmas chaves — o modelo dimensional é tão reproduzível quanto o restante da pipeline.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Reprodutibilidade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Todo o ambiente é recriável a partir dos scripts que acompanham esta entrega, e cada script valida o próprio resultado, abortando se a contagem divergir do esperado: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gerar_dataset_cde_v8.py — gera a base (SEED = 42, determinístico)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01_carga_bronze.py — envia ao Cloud Storage e carrega a camada bronze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02_cria_silver.py — executa o DDL da silver com validação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06_cria_gold.py — cria e valida as views da gold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05_inventario_bq.py — inventário com checagem de duplicação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DDLs ficam versionados em arquivos .sql separados do código Python que os executa, permitindo revisão do SQL sem leitura de código.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ANÁLISE EXPLORATÓRIA DE DADOS E MÉTRICAS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Metodologia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foi conduzida em 22 consultas SQL versionadas sobre a camada silver — 16 exploratórias e 6 de teste direto da hipótese do projeto. Cada consulta grava seu resultado em arquivo próprio, permitindo auditoria independente dos números apresentados.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A hipótese e o veredito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projeto parte de uma tese sobre por que a Kenzie V1 não entrega: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O script do bot não resolve por conta própria — sabe informar, não sabe executar.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Por isso a operação depende cronicamente do atendimento humano.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(c) </w:t>
      </w:r>
      <w:r>
        <w:rPr>
          <w:rFonts w:ascii="Calibri" w:cs="Calibri" w:eastAsia="Calibri" w:hAnsi="Calibri"/>
          <w:sz w:val="22"/>
          <w:szCs w:val="22"/>
        </w:rPr>
        <w:t xml:space="preserve">E o próprio atendimento humano falha, porque a demanda circula entre áreas internas do banco.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três eixos foram testados separadamente e todos se confirmaram.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4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Eixo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Veredito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 central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resolução pelo bot cai de 45,9% em demandas informacionais para 20,9% em transacionais. E 47,7% de toda a demanda é transacional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11.106 horas humanas por ano (6,3 postos em tempo integral) para uma autonomia de apenas 25,2%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(c)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15,9% dos casos que chegam ao atendimento humano terminam sem resolução, consumindo 1.770 horas por ano — e outros 1.481 clientes desistem na fila antes de serem atendidos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O problema não é linguagem, é permissão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Reclassificando as demandas pelo tipo de ação que exigem — e não pelo assunto — o padrão aparece com nitidez: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1600"/>
        <w:gridCol w:w="16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demanda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do total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 resolve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Pede humano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CSAT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Informacional (só consultar)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37,0%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3,87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Misto (consulta + ação leve)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20,1%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33,8%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45,0%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3,76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Transacional (exige sistema)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47,7%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20,9%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3,65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Quatro indicadores se movem juntos e na mesma direção. A Kenzie entende o pedido — o que ela não tem é permissão de escrita nos sistemas do banco. Desbloquear um PIX, aprovar um documento ou alterar um limite exige executar uma transação, e o bot só sabe devolver texto.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Consequência para a V2: </w:t>
      </w:r>
      <w:r>
        <w:rPr>
          <w:rFonts w:ascii="Calibri" w:cs="Calibri" w:eastAsia="Calibri" w:hAnsi="Calibri"/>
          <w:sz w:val="22"/>
          <w:szCs w:val="22"/>
        </w:rPr>
        <w:t xml:space="preserve">o ganho de automação não virá de treinar melhor o modelo de linguagem, e sim de conceder ao bot acesso transacional aos sistemas internos, com as travas de segurança correspondentes. É decisão de arquitetura e de apetite a risco, não de processamento de linguagem.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6.4 O custo da dependência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bot resolve em 5,2 minutos, contra 24,6 do atendimento humano — e com satisfação maior (CSAT 4,34 contra 4,19). Não existe, nesta operação, o trade-off clássico entre custo e qualidade: automatizar melhora os dois.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300"/>
      </w:tblGrid>
      <w:tr>
        <w:trPr>
          <w:tblHeader/>
        </w:trPr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Cenário de autonomia do bot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Ganho anual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Equivalente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 pontos percentuais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2.328 horas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 FTE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40%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3.445 horas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 FTE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50%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5.773 horas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3,3 FTE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Chegar a 60%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8.101 horas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4,6 FTE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business case da V2 em uma linha: cada 10 pontos percentuais de autonomia devolvem 1,3 posto de atendimento em tempo integral. E, pelo eixo (a), sabe-se exatamente onde esses pontos estão — nos 47,7% de demanda transacional hoje bloqueada.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6.5 O encaminhamento que consome atendimento e não resolve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eixo (c) foi medido sobre o conjunto de conversas em que um atendente humano efetivamente assumiu o caso — 13.567 no período, e não sobre as 6.744 que trazem área registrada, que é um subconjunto enviesado. A operação perde de duas formas: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perda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Desiste na fila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1.481 / ano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Escalou para atendimento humano e desistiu antes de ser atendido — 9,8% de todas as escalações. O cliente nunca chegou a falar com uma pessoa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Atendido sem solução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2.158 / ano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 atendente trabalhou o caso por 24,4 minutos — praticamente o mesmo tempo de um caso resolvido — e o cliente saiu sem solução. São 15,9% dos casos atendidos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Juntas, as duas perdas somam 3.639 conversas por ano — 10,1% da operação — que consumiram atendimento e não entregaram resultado. As 2.158 atendidas sem solução equivalem a 1.770 horas de atendente por ano, ou 15,8% de todo o tempo humano da operação. Não há economia de esforço no fracasso: o caso que falha custa praticamente o mesmo que o caso que dá certo.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Medidas sobre o denominador correto, as nove áreas internas resolvem entre 81,7% e 88,5% do que recebem, e a diferença entre elas não sobrevive a um teste de significância: oito das nove ficam dentro de 1,25 desvio-padrão da média. Esta base, contudo, não permite concluir que as áreas sejam equivalentes na operação real — o gerador do gêmeo estatístico atribui a todas a mesma probabilidade de resolução, de modo que a uniformidade observada é uma decisão de modelagem e não um achado empírico. Numa operação real a expectativa é a oposta: áreas com dependência de terceiros, restrição regulatória ou sem permissão de escrita nos sistemas de origem tendem a devolver mais casos. Testar isso exige que a área de destino seja registrada em todos os encaminhamentos, e não apenas quando o caso dá errado — requisito de captura de dado que fica registrado para a V2.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6.6 Demais achados relevantes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5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satisfação é bimodal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tem o problema resolvido dá entre 3,94 e 4,34; quem não tem, entre 1,75 e 1,87. Não há nenhum desfecho no intervalo. A média de 3,74 é artefato aritmético e não descreve nenhum cliente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atrito acumulado (premissa modelada)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resolução cai de 29,9% no primeiro contato para 15,4% a partir do quinto, e a insatisfação sobe de 22,0% para 36,6%. Estes números não são um achado da análise: são a consequência aritmética do atrito acumulado, estrutura deliberadamente introduzida na recalibração da base (seção 6.8). O que eles dimensionam é o custo dessa premissa, dada a intensidade modelada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barreira de idioma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Dentro do segmento CDE, a variação entre português, inglês e espanhol é de 0,5 ponto percentual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 de frustração no meio da conversa</w:t>
            </w:r>
          </w:p>
        </w:tc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54,5% das falas do terceiro quinto são negativas; o humor só melhora no trecho final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 de TED/PIX é a pior dor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14,3% de resolução pelo bot, 58,9% de transferência e a maior duração média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Sobre a ausência de barreira de idioma: </w:t>
      </w:r>
      <w:r>
        <w:rPr>
          <w:rFonts w:ascii="Calibri" w:cs="Calibri" w:eastAsia="Calibri" w:hAnsi="Calibri"/>
          <w:sz w:val="22"/>
          <w:szCs w:val="22"/>
        </w:rPr>
        <w:t xml:space="preserve">este resultado refuta uma hipótese inicial da própria equipe e foi mantido no relatório porque elimina a explicação concorrente mais fácil. A Kenzie atende igualmente mal em três idiomas e nos dois segmentos, o que reforça que a causa é estrutural. O que de fato distingue o cliente CDE é o produto: câmbio, praticamente exclusivo desse público, é demanda transacional pura.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6.7 Um alerta metodológico: composição versus desempenho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Consultando o modelo dimensional, observa-se que, entre as demandas informacionais, o bot resolve 42,5% dos atendimentos de clientes CDE contra 53,6% dos correntistas nacionais — onze pontos percentuais de diferença no tipo de demanda mais simples. À primeira vista, isso contradiz o achado de que não há penalização do público CDE.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diferença, porém, é integralmente explicada pela composição do grupo, e não por qualidade de atendimento: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 dentro de Informacional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no CDE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no Nacional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 resolve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Termos e Documentação BR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47,6%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29,3%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Investimentos CDB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28,6%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52,0%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49,4%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Saldo e Extrato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23,8%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40,0%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61,1%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Aplicando essas proporções às taxas de cada categoria, a resolução esperada é de 42,9% para o CDE e 52,4% para o nacional — praticamente idêntica à observada. O bot atende os dois públicos com a mesma eficácia dentro de cada categoria; o que difere é a distribuição das perguntas.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achado de negócio: </w:t>
      </w:r>
      <w:r>
        <w:rPr>
          <w:rFonts w:ascii="Calibri" w:cs="Calibri" w:eastAsia="Calibri" w:hAnsi="Calibri"/>
          <w:sz w:val="22"/>
          <w:szCs w:val="22"/>
        </w:rPr>
        <w:t xml:space="preserve">quase metade das dúvidas informacionais do cliente CDE são sobre termos e documentação brasileira — o que é CPF, como funciona o PIX, se o CPF continua válido morando fora. São perguntas de quem não convive com o sistema financeiro brasileiro, e é justamente a categoria informacional com menor resolução. Não se trata de uma limitação de capacidade do bot, e sim de uma lacuna de conteúdo específica desse público, resolvível com material explicativo dedicado.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caso ilustra por que a análise agregada exige cuidado: comparar dois grupos com composições diferentes produz conclusões enganosas. O modelo dimensional permitiu identificar e quantificar o efeito.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6.8 Recalibração da base a partir dos achados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análise exploratória identificou cinco limitações no próprio gerador da base sintética. Três foram corrigidas em uma nova versão: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diário plano (variação de 7,7%); segunda-feira igual a domingo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de dia da semana, vencimento de fatura, tendência e picos de incidente. Variação passou a 30,6%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Fuso horário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90% do volume entre 8h e 19h de Brasília, embora 70% da base resida no exterior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cliente CDE recebe um fuso, e seu horário comercial local é convertido para o de Brasília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Atrito acumulado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 reabertura não alterava o desfecho: o cliente na quarta tentativa era tratado como se fosse a primeira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Contatos prévios e reabertura passam a reduzir a resolução e elevar abandono e insatisfação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recalibração preservou os níveis agregados calibrados com a operação real — resolução pelo bot 25,2%, transferência 41,8%, abandono 17,3%, CSAT 3,74, com desvio máximo de 0,3 ponto percentual. O que mudou foi a distribuição interna, não os totais. O schema permaneceu idêntico, e a pipeline absorveu a mudança sem alteração de código.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GOVERNANÇA, INTEGRAÇÃO CONTÍNUA E INFRAESTRUTURA COMO CÓDIGO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Governança de 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controle de acesso segue o princípio de menor privilégio, com papéis específicos em vez do papel genérico de Editor: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acessa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Papel atribuído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bronze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Esteira de ingestão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Editor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silver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Engenharia de dados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Editor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Analistas e Looker Studio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Data Viewer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Rastreabilidade: as colunas _ingestion_ts e _source_file acompanham cada registro da bronze até a silver, permitindo responder de onde veio e quando entrou qualquer linha da base.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Versionamento de dados: a promoção de uma nova versão da base preserva a anterior em tabelas com sufixo próprio, nos dois datasets. Ambas permanecem consultáveis e comparáveis em SQL.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LGPD: </w:t>
      </w:r>
      <w:r>
        <w:rPr>
          <w:rFonts w:ascii="Calibri" w:cs="Calibri" w:eastAsia="Calibri" w:hAnsi="Calibri"/>
          <w:sz w:val="22"/>
          <w:szCs w:val="22"/>
        </w:rPr>
        <w:t xml:space="preserve">a base é 100% sintética e nenhum dado pessoal foi utilizado. Ainda assim, o pipeline de mascaramento está implementado na transição bronze → silver, aplicando expressões regulares para e-mail e CPF e registrando em coluna própria quando a regra atuou. Telefone ficou deliberadamente de fora: o padrão colide com valores monetários e números de protocolo, e um falso positivo destruiria dado legítimo. Na base atual a regra não encontra ocorrências — os dados já nascem mascarados por construção — mas ela permanece porque em produção a origem é um export real, onde essa garantia não existe.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bronze preserva o texto como veio e é a camada de acesso mais restrito; a silver entrega a versão tratada. Quem consulta a silver não precisa ver o original.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Integração contínua e infraestrutura como código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entrega separa três trilhas de pipeline independentes que compartilham a mesma base de infraestrutura como código, evitando que uma mudança no modelo force o redeploy de toda a infraestrutura: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Trilha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 (Terraform)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Buckets, datasets, IAM e políticas de acesso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Implementada e em operação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de dados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Cargas e transformações bronze → silver → gold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versionados; esteira prevista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de ML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Treino, avaliação e publicação do modelo de NLP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Prevista; depende da definição do alvo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sz w:val="22"/>
          <w:szCs w:val="22"/>
        </w:rPr>
        <w:t xml:space="preserve">https://github.com/MACK-Hand-on/MACK — público. O histórico de revisão, o Pull Request com o plano do Terraform publicado como comentário e as execuções da esteira ficam visíveis na aba Actions.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trilha de infraestrutura foi implementada e exercitada de ponta a ponta. Nenhuma alteração de infraestrutura chega ao ambiente sem passar por quatro controles encadeados: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 aplicado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Abertura do Pull Request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automática de formatação, sintaxe, boas práticas de GCP (tflint) e segurança (checkov)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plano de execução do Terraform é publicado como comentário no próprio PR, legível por quem não domina a ferramenta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branch principal exige Pull Request aprovado por outra pessoa; escrita direta, reescrita de histórico e exclusão estão bloqueadas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Parada obrigatória aguardando aprovação humana registrada, com o comentário do aprovador gravado no histórico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Autenticação: </w:t>
      </w:r>
      <w:r>
        <w:rPr>
          <w:rFonts w:ascii="Calibri" w:cs="Calibri" w:eastAsia="Calibri" w:hAnsi="Calibri"/>
          <w:sz w:val="22"/>
          <w:szCs w:val="22"/>
        </w:rPr>
        <w:t xml:space="preserve">via Workload Identity Federation, sem chaves estáticas de conta de serviço armazenadas como segredos. O GCP confia em uma identidade emitida pelo GitHub para um repositório específico, e a autorização é dupla: uma condição no provedor restringe a organização de origem e um vínculo na conta de serviço restringe o repositório exato. Não existe arquivo de credencial que possa vazar — decisão especialmente relevante em ambiente bancário, onde credenciais de longa duração representam risco desproporcional.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Adoção do ambiente existente: </w:t>
      </w:r>
      <w:r>
        <w:rPr>
          <w:rFonts w:ascii="Calibri" w:cs="Calibri" w:eastAsia="Calibri" w:hAnsi="Calibri"/>
          <w:sz w:val="22"/>
          <w:szCs w:val="22"/>
        </w:rPr>
        <w:t xml:space="preserve">os recursos provisionados manualmente na fundação foram incorporados ao Terraform por importação, e não recriados. A alternativa — aplicar o código como estava — teria criado um segundo conjunto de recursos vazio ao lado do que contém os dados. O plano resultante foi lido três vezes antes da aplicação: localmente, como comentário no PR e na tela de aprovação. O resultado da execução foi de 4 recursos alterados e nenhum destruído, idêntico ao previsto.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Separação de responsabilidades: </w:t>
      </w:r>
      <w:r>
        <w:rPr>
          <w:rFonts w:ascii="Calibri" w:cs="Calibri" w:eastAsia="Calibri" w:hAnsi="Calibri"/>
          <w:sz w:val="22"/>
          <w:szCs w:val="22"/>
        </w:rPr>
        <w:t xml:space="preserve">na execução registrada, quem revisou e mesclou o código e quem autorizou a alteração da infraestrutura foram pessoas distintas, em dois pontos de controle diferentes. A separação não foi combinada previamente — decorre do desenho da esteira, que é precisamente o objetivo de um controle automatizado.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O que a automação encontrou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argumento a favor de uma esteira de verificação costuma ser apresentado como boas práticas. Neste projeto ele pôde ser verificado: a automação expôs três problemas reais que a revisão humana não havia detectado.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apareceu e o que significava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sem declaração de dependências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tflint apontou, na primeira execução, que o módulo de data lake não declarava versão do Terraform nem do provedor. O módulo funcionava por herdar a configuração de quem o chamava — uma dependência implícita, que quebraria de forma silenciosa se reutilizado em outro contexto. O achado passou por duas revisões humanas antes de a ferramenta encontrá-lo em fração de segundo.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 de dados crus sem proteção contra exposição pública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plano do Terraform revelou que a política do bucket estava como herdada, e não imposta. A aplicação a corrigiu para imposta, além de ligar o versionamento de objetos. A infraestrutura como código não apenas documentou o ambiente: corrigiu uma lacuna de segurança que existia no provisionamento manual.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 de aprovação sem regra de proteção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GitHub cria automaticamente qualquer ambiente citado em um fluxo de trabalho, sem nenhuma regra associada. O ambiente de produção existia nessa condição: aparentava ser um portão de aprovação e não era. Só foi detectado ao consultar suas regras por API, e não pela interface, que exibe o ambiente como existente.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três achados têm a mesma natureza: são controles que existiam no papel e não no sistema. Nenhum apareceria em teste funcional, porque nada estava quebrado — apenas desprotegido.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Uma dependência documentada que se materializou: </w:t>
      </w:r>
      <w:r>
        <w:rPr>
          <w:rFonts w:ascii="Calibri" w:cs="Calibri" w:eastAsia="Calibri" w:hAnsi="Calibri"/>
          <w:sz w:val="22"/>
          <w:szCs w:val="22"/>
        </w:rPr>
        <w:t xml:space="preserve">o registro técnico do projeto anotou que transferir o repositório de propriedade invalidaria a configuração de autenticação, e que o ajuste precisaria acompanhar a transferência. Doze horas depois o repositório foi transferido para uma organização. A correção estava escrita e levou dois comandos, sem migração e sem perda de dado. Sem o registro, o sintoma seguinte teria sido uma falha genérica de permissão, sem nenhuma alteração de código que a explicasse.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Adequação da proposta ao orçamento do projeto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proposta original de arquitetura foi revista para caber no Free Tier da GCP, mantendo o desenho conceitual e substituindo serviços cujo custo inviabilizaria o projeto acadêmico: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Serviço proposto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Substituição adotada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free tier; custo aproximado de US$ 525 por mês em operação contínua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Scheduler com Cloud Run Jobs, ou consultas agendadas do BigQuery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Dataflow (streaming)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por worker-hora mesmo ocioso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do Pub/Sub que grava diretamente no BigQuery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DLP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pago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Mascaramento por expressão regular em SQL, já implementado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Dataplex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e custo desproporcionais ao escopo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tags e segurança em nível de coluna, nativos do BigQuery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Cloud Composer permanece documentado como arquitetura alvo para um ambiente bancário de produção, com o trade-off de custo explicitado. A escolha é consciente, não uma limitação técnica.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sobre o bootstrap: </w:t>
      </w:r>
      <w:r>
        <w:rPr>
          <w:rFonts w:ascii="Calibri" w:cs="Calibri" w:eastAsia="Calibri" w:hAnsi="Calibri"/>
          <w:sz w:val="22"/>
          <w:szCs w:val="22"/>
        </w:rPr>
        <w:t xml:space="preserve">a fundação do ambiente — projeto, APIs e o bucket que guarda o estado do próprio Terraform — foi provisionada manualmente. Fazer o Terraform criar o bucket onde guarda seu estado configuraria uma dependência circular; a separação entre bootstrap manual e recursos versionados é a prática padrão. Os demais recursos, antes provisionados à mão, passaram ao controle do Terraform por importação.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7.5 Custo efetivo do ambiente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Consumo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Franquia mensal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no BigQuery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0,543 GiB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GiB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5,4%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processadas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380 MB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TiB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0,04%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Alerta de orçamento configurado em US$ 20 mensais, com avisos em 10%, 50% e 90% do limite.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7.6 Próximos passos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Publicar o protótipo do dashboard executivo no Looker Studio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Ratificar em grupo a variável-alvo do modelo preditivo/classificatório de NLP, definida em 28/08 e detalhada abaixo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Versionar o código da pipeline de dados em repositório próprio, estendendo a ele o mesmo padrão de promoção por Pull Request já em operação na infraestrutura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Atualizar as ações da esteira que ainda declaram a versão do Node.js em processo de descontinuação pelo GitHub</w:t>
      </w:r>
    </w:p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Quanto ao segundo item, os candidatos foram testados diretamente na base antes de qualquer treino, medindo o teto de desempenho de cada um. A classificação do motivo de transferência mostrou-se inviável: o campo é atribuído por sorteio uniforme no gerador, sem vínculo com texto, assunto ou cliente, o que limita qualquer modelo a 20% de acurácia — o acaso. A previsão de descadastro foi descartada por decorrer de uma regra determinística do próprio gerador. A opção adotada é um pipeline de dois estágios: um classificador de intenção, que deriva do texto de abertura a categoria da demanda e, por mapeamento determinístico, a área de encaminhamento; e sobre ele um escore de risco, que estima a probabilidade de o bot resolver o caso. O segundo estágio é avaliado por AUC e calibração, e não por acurácia — como classificador ele supera em apenas 2,1 pontos percentuais a regra trivial de prever sempre a classe majoritária, enquanto como escore de risco alcança um teto de AUC de 0,750. O resultado a ser reportado é o AUC obtido em relação a esse teto.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DEFINIÇÃO DO MVP E LEVANTAMENTO DE REQUISITOS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8.1 O que a Kenzie 360 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Kenzie 360 é a camada de inteligência que transforma conversa em decisão. Ela lê a abertura de cada atendimento, estima o risco de o bot não conseguir resolver, e roteia o caso antes que o cliente perceba que entrou no caminho errado. É a fundação sobre a qual a V2 do bot será construída, e o mecanismo pelo qual essa V2 aprende.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 definição responde a uma lacuna apontada na avaliação da Sprint 2: o projeto apresentava a implementação técnica sem declarar qual produto ela constrói. As três leituras possíveis — uma memória conversacional, um bot, a fundação da V2 — foram resolvidas em favor da terceira, com a primeira como meio e a segunda como consequência futura, fora do escopo deste semestre.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Kenzie 360 explicitamente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é</w:t>
      </w:r>
      <w:r>
        <w:rPr>
          <w:rFonts w:ascii="Calibri" w:cs="Calibri" w:eastAsia="Calibri" w:hAnsi="Calibri"/>
          <w:sz w:val="22"/>
          <w:szCs w:val="22"/>
        </w:rPr>
        <w:t xml:space="preserve">: a V2 do bot, que escreveria respostas e conversaria; um relatório, já que a saída principal é uma decisão tomada durante o atendimento e não um documento lido depois; e não é um modelo treinado uma única vez, porque o processo de aprendizado contínuo faz parte do produto.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8.2 Quem consome a saída, e o que muda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mesmo motor serve dois consumidores em latências diferentes, e eles correspondem exatamente às duas camadas da arquitetura Lambda adotada no projeto.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bot, na abertura da conversa — camada de velocidade.</w:t>
      </w:r>
      <w:r>
        <w:rPr>
          <w:rFonts w:ascii="Calibri" w:cs="Calibri" w:eastAsia="Calibri" w:hAnsi="Calibri"/>
          <w:sz w:val="22"/>
          <w:szCs w:val="22"/>
        </w:rPr>
        <w:t xml:space="preserve"> Entra o texto da primeira mensagem, sai a rota. Hoje toda conversa entra no script e o cliente descobre que o bot não resolve depois de catorze minutos; com a Kenzie 360 o caso de alto risco vai direto ao atendimento humano com contexto, e a decisão acontece no primeiro turno. A decisão é automática: não há aprovação humana prévia, porque o cliente está aguardando na conversa e não existe supervisor capaz de aprovar roteamento ao vivo em escala.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supervisor, depois — camada de lote e serviço.</w:t>
      </w:r>
      <w:r>
        <w:rPr>
          <w:rFonts w:ascii="Calibri" w:cs="Calibri" w:eastAsia="Calibri" w:hAnsi="Calibri"/>
          <w:sz w:val="22"/>
          <w:szCs w:val="22"/>
        </w:rPr>
        <w:t xml:space="preserve"> Ele vê a fila do que já foi roteado, com a probabilidade que gerou cada decisão, e pode marcar um caso como roteado incorretamente. Essa marcação é o rótulo que alimenta o retreino. O supervisor não é um portão de aprovação: é a fonte de aprendizado do sistema. Sem esse papel, o modelo é treinado uma vez e envelhece em silêncio.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8.3 A decisão de negócio que muda, e a assimetria que a orienta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Antes, a operação descobre que uma demanda não tinha solução no bot depois de gastar o tempo do bot, o tempo da fila e a paciência do cliente. Depois, ela decide na abertura onde cada caso deve ser resolvido, e passa a saber quanto custa cada erro dessa decisão.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 de roteamento</w:t>
            </w:r>
          </w:p>
        </w:tc>
        <w:tc>
          <w:tcPr>
            <w:tcW w:type="dxa" w:w="5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Encaminhou ao humano um caso que o bot resolveria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 de atendente. O cliente é bem atendido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Manteve no bot um caso que vai falhar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percorre a jornada que falha, se irrita e, pelo atrito acumulado (seção 6.6), volta em pior situação e é atendido em pior situação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segundo erro é mais caro, e seu custo não termina naquela conversa.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política de roteamento deve, portanto, pender para rotear demais, e não de menos.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8.4 Requisitos do MVP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Requisitos funcionais: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RF1 — classificar a intenção a partir do texto de abertura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RF2 — estimar a probabilidade de resolução pelo bot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RF3 — devolver uma rota: seguir no bot, ou encaminhar ao humano com contexto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RF4 — registrar decisão e probabilidade de cada caso, para auditoria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RF5 — permitir ao supervisor marcar uma decisão como incorreta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RF6 — apresentar painel com a fila priorizada por risco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Requisitos não funcionais: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RNF1 — executar dentro do free tier da Google Cloud Platform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RNF2 — ingestão incremental: processar apenas o lote novo, sem duplicar registros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RNF3 — reprodutibilidade: mesma semente, mesmo resultado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RNF4 — nenhum dado pessoal na base ou nos artefatos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RNF5 — código versionado, incluindo o da pipeline de dados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RNF6 — nenhuma variável indisponível no momento em que a decisão é tomada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8.5 Onde cortar: uma decisão de produto, não de estatística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modelo devolve uma probabilidade contínua. Onde colocar o corte que separa seguir no bot de encaminhar ao humano é decisão de produto, e não depende do modelo: depende de quanto volume a equipe humana consegue absorver. A calibração tem três passos — ordenar as conversas pela probabilidade de falha, descer a lista até o volume diário que a operação comporta, e adotar como corte a probabilidade nesse ponto.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corte agressivo demais entope a fila humana; um conservador demais faz o modelo não mudar nada. O parâmetro deve ser revisto sempre que a capacidade da operação mudar, e nesta entrega será fixado apenas para fins de demonstração.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8.6 Fora de escopo desta entrega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Integração com o bot em produção. Tempo real, aqui, significa o caminho de inferência demonstrado de ponta a ponta em uma conversa, e não um serviço implantado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Streaming por Pub/Sub, que permanece no desenho como evolução declarada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Retreino automático: o ciclo é desenhado e o gatilho definido, mas a execução automática fica para depois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Geração de resposta. O produto decide a rota, não escreve o texto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ARQUITETURA DO CICLO DE APRENDIZADO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9.1 O que faltava no desenho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arquitetura desenhada na Sprint 1 descreve corretamente um pipeline analítico: o dado entra pela ingestão, atravessa as camadas e sai no dashboard. É um fluxo de mão única, e é por isso que a avaliação da Sprint 2 não encontrou nele o objetivo final do projeto.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pipeline analítico produz relatórios. O que este projeto constrói é um sistema que melhora com o uso, e isso exige um caminho de retorno que não estava desenhado: conversas novas geram rotulagem, que alimenta o retreino, que produz um modelo melhor, que influencia o atendimento seguinte, que vira conversa nova.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9.2 Os cinco estágios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5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Estágio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faz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 nesta entrega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Ingestão incremental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Scheduler dispara um Cloud Run Job que carrega apenas o lote novo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construir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Camadas bronze, silver e gold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Tipagem, deduplicação e views de consumo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Rotulagem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Rótulo operacional mais revisão humana amostral, que corrige o modelo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Desenhado; demonstrado com os rótulos existentes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Treino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Treino sobre a base rotulada, avaliação contra o modelo em produção e registro de versão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inicial construída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Inferência e retorno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Triagem na abertura e painel do supervisor; o atendimento resultante volta a ser dado de entrada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lote nesta entrega</w:t>
            </w:r>
          </w:p>
        </w:tc>
      </w:tr>
    </w:tbl>
    <w:p>
      <w:pPr>
        <w:spacing w:after="0"/>
      </w:pPr>
    </w:p>
    <w:p>
      <w:pPr>
        <w:spacing w:after="80" w:before="160"/>
        <w:jc w:val="center"/>
      </w:pPr>
      <w:r>
        <w:drawing>
          <wp:inline distT="0" distB="0" distL="0" distR="0">
            <wp:extent cx="5715000" cy="3485000"/>
            <wp:effectExtent l="0" t="0" r="0" b="0"/>
            <wp:docPr id="101" name="Figura" descr="Figura 1 — O ciclo de aprendizado da Kenzie 360, com os serviços de cada estágio. A seta em destaque é o caminho de retorno que distingue um sistema que aprende de um pipeline analí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ic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  <w:color w:val="5C6B78"/>
        </w:rPr>
        <w:t xml:space="preserve">Figura 1 — O ciclo de aprendizado da Kenzie 360, com os serviços de cada estágio. A seta em destaque é o caminho de retorno que distingue um sistema que aprende de um pipeline analítico.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estágio 3 é o que não existia em nenhum desenho anterior, e é a peça de maior valor para a aplicação em operação real. Um modelo sem processo de rotulagem funciona no dia da entrega e degrada em silêncio depois.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9.3 A ingestão incremental está mais próxima do que parecia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auditoria da camada de dados encontrou que a silver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já está pronta para carga incremental</w:t>
      </w:r>
      <w:r>
        <w:rPr>
          <w:rFonts w:ascii="Calibri" w:cs="Calibri" w:eastAsia="Calibri" w:hAnsi="Calibri"/>
          <w:sz w:val="22"/>
          <w:szCs w:val="22"/>
        </w:rPr>
        <w:t xml:space="preserve">: ela deduplica por chave de negócio, com prevalência da ingestão mais recente. Se o mesmo registro entrar duas vezes, a versão nova prevalece e a antiga é descartada.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único bloqueio está na bronze, que carrega em modo de substituição total. Trocar para modo incremental, mantendo o particionamento e as colunas de procedência que já existem, converte a pipeline atual sem reescrever a silver nem a gold. Para demonstrar o ciclo sem gerar base nova, a última semana do período é retida e carregada separadamente, como se fosse o lote que chegou depois.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AUDITORIA DO GERADOR E REVISÃO DA ANÁLISE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10.1 Por que auditar antes de modelar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de escolher a variável-alvo do modelo, o gerador da base sintética foi auditado. A motivação era prática: em base sintética, é o gerador — e não a análise — que determina o que pode ser aprendido. Um alvo cuja regra a própria equipe escreveu produz acurácia alta e valor probatório nulo.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auditoria encontrou o que se buscava, e também o que não se buscava: um erro na análise exploratória apresentada na Sprint 2.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10.2 O erro de denominador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seção 6.5 calculava a taxa de falha do encaminhamento sobre as conversas com área registrada. No gerador, o caso resolvido registra a área em apenas 40% das vezes, enquanto o caso não resolvido a registra sempre. O denominador excluía três em cada cinco sucessos e nenhum fracasso, e a inflação era de exatamente 2,01 vezes.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Publicado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Correto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resolução no atendimento humano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32,0%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15,9%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por área interna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64,0% a 69,6%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81,7% a 88,5%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Satisfação por área interna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3,29 a 3,54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3,74 a 3,90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Duas conclusões caíram junto. A afirmação de que Cartões seria a área de pior desempenho era ruído estatístico: 2,41 desvios-padrão em nove comparações simultâneas, exatamente o que o acaso produz. E a tese dos dois modos de falha era artefato, porque o motivo de transferência só é atribuído quando um atendente humano assume o caso — de modo que as conversas sem motivo que foram atendidas são, por construção, apenas as resolvidas.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eixos (a) e (b) da hipótese não foram afetados. O custo anual recalculado deu 11.197 horas contra as 11.106 publicadas, diferença de 0,8% e dentro do arredondamento.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10.3 O reposicionamento do atrito acumulado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mesma auditoria mostrou que o efeito da recorrência não é um achado da análise: é um parâmetro deliberadamente introduzido na recalibração da base, com queda de 7% na resolução a cada contato prévio e 18% adicionais quando a conversa é reabertura.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estrutura continua defensável — a alternativa, um modelo em que reincidir não muda nada, é claramente falsa sobre qualquer operação real, e os níveis agregados permanecem ancorados nos indicadores da operação. O que mudou foi o enquadramento: a seção passou a declarar os parâmetros e a apresentar os números como dimensionamento de uma premissa, e não como descoberta. A recomendação prática sobrevive independentemente da magnitude: o histórico de contatos precisa estar disponível na abertura da conversa.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10.4 Três parâmetros recuperados às cegas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correção foi validada de forma independente. O cálculo refeito recuperou três constantes conhecidas do gerador, por caminhos que não se comunicam entre si: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Constante no gerador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Medido pela análise corrigida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pelo atendimento humano: 0,84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84,09%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 de transferência: sorteio uniforme entre cinco, 0,20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Desistência na fila: 0,10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9,84%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números por área foram obtidos duas vezes, uma por consulta SQL sobre o data warehouse e outra por processamento local do arquivo de origem, com resultados idênticos nas nove áreas. Quando dois caminhos independentes chegam ao mesmo valor, o cálculo está correto.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10.5 O que a base permite e não permite afirmar sobre as áreas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Medidas corretamente, as nove áreas internas resolvem em torno de 84% e nenhuma se distingue das demais. Isso não é evidência de que sejam equivalentes na operação real: o gerador atribui a todas a mesma probabilidade de resolução, e a uniformidade observada é decisão de modelagem, não achado empírico.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Numa operação real a expectativa é a oposta. Áreas com dependência de terceiros, restrição regulatória ou sem permissão de escrita nos sistemas de origem tendem a devolver mais casos. Testar isso exige que a área de destino seja registrada em todos os encaminhamentos, e não apenas quando o caso dá errado. Esse é um requisito de captura de dado que fica registrado para a V2.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Pelo mesmo método testou-se se as filas perdem clientes em proporções diferentes antes do atendimento. Não perdem: qui-quadrado de 14,86 com oito graus de liberdade e p de 0,062, com o maior desvio individual em 2,00 sigma contra os 2,1 esperados para o máximo de nove sorteios. O resultado negativo é registrado por ser instrutivo — um valor de p nessa faixa é exatamente o que tenta a leitura apressada.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MODELAGEM PREDITIVA — VERSÃO INICIAL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11.1 A escolha do alvo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Os candidatos foram testados diretamente na base antes de qualquer treino, medindo o teto de desempenho de cada um. A classificação do motivo de transferência mostrou-se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inviável</w:t>
      </w:r>
      <w:r>
        <w:rPr>
          <w:rFonts w:ascii="Calibri" w:cs="Calibri" w:eastAsia="Calibri" w:hAnsi="Calibri"/>
          <w:sz w:val="22"/>
          <w:szCs w:val="22"/>
        </w:rPr>
        <w:t xml:space="preserve">: o campo é atribuído por sorteio uniforme no gerador, sem vínculo com texto, assunto ou cliente. Os cinco motivos aparecem entre 19,4% e 20,5%, e cada um se distribui pelas nove áreas na mesma proporção, o que limita qualquer modelo a 20% de acurácia — o acaso.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previsão de descadastro foi descartada por decorrer de regra determinística do próprio gerador, e a classificação do tipo de demanda por circularidade com a categoria.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opção adotada é um pipeline de dois estágios.</w:t>
      </w:r>
      <w:r>
        <w:rPr>
          <w:rFonts w:ascii="Calibri" w:cs="Calibri" w:eastAsia="Calibri" w:hAnsi="Calibri"/>
          <w:sz w:val="22"/>
          <w:szCs w:val="22"/>
        </w:rPr>
        <w:t xml:space="preserve"> O primeiro classifica a intenção, derivando do texto de abertura a categoria da demanda e, por mapeamento determinístico, a área de encaminhamento. O segundo estima a probabilidade de o bot resolver o caso, a partir da categoria prevista e do histórico do cliente. Um alimenta o outro, e juntos constituem a triagem na abertura.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11.2 Tetos medidos antes do treino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Medir o teto antes de treinar é o que permite ler o resultado com honestidade: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Estágio e métrica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Teto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1 — acurácia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14,48%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2 — acurácia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74,77%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76,88%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 2 — AUC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0,750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teto de 100% do estágio 1 decorre de nenhuma das 11.438 aberturas distintas aparecer em mais de uma categoria. Já o estágio 2, como classificador, supera o baseline em apenas 2,1 pontos percentuais e é praticamente inútil nesse formato; como escore de risco, ordena conversas por probabilidade de falha com um teto que significa alguma coisa.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resultado do projeto é o AUC do estágio 2 contra 0,750, e não a acurácia do estágio 1.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11.3 Estágio 1: resultado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(prever sempre a classe majoritária)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14,48%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99,99%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F1 macro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99,93%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Teto do problema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Acurácia do roteamento (categoria para área)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99,99%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conjunto foi dividido por cliente, e não por conversa, porque contatos prévios e reabertura ligam as conversas de um mesmo cliente: dividir por conversa faria o mesmo cliente aparecer nos dois lados, e o modelo memorizaria trajetórias em vez de aprender padrões. Foram 25.415 conversas de treino e 8.383 de teste, com interseção de clientes verificada em zero antes do treino.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Houve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 erro em 8.383 casos</w:t>
      </w:r>
      <w:r>
        <w:rPr>
          <w:rFonts w:ascii="Calibri" w:cs="Calibri" w:eastAsia="Calibri" w:hAnsi="Calibri"/>
          <w:sz w:val="22"/>
          <w:szCs w:val="22"/>
        </w:rPr>
        <w:t xml:space="preserve"> — uma conversa de operações de pessoa jurídica classificada como câmbio. Esse segmento representa 0,6% da base e possui aberturas próprias. O erro isolado é a evidência de que o modelo generaliza em vez de decorar: um resultado de 100,00% cravado indicaria uma tabela de consulta.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representação de texto usa n-gramas de caractere, e não de palavra, escolha ditada pela base: três idiomas, abreviações, erros de digitação injetados deliberadamente e alternância entre português e inglês nos clientes expatriados.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11.4 Controle de vazamento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tabela de atendimentos possui trinta colunas, e a maioria só existe depois que a conversa terminou. Satisfação, duração, número de mensagens e status são consequência do desfecho; um modelo que as utilizasse alcançaria desempenho excelente e inútil, já que no momento da decisão nenhuma delas existe.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script de treino carrega uma lista de dezoito colunas proibidas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interrompe a execução</w:t>
      </w:r>
      <w:r>
        <w:rPr>
          <w:rFonts w:ascii="Calibri" w:cs="Calibri" w:eastAsia="Calibri" w:hAnsi="Calibri"/>
          <w:sz w:val="22"/>
          <w:szCs w:val="22"/>
        </w:rPr>
        <w:t xml:space="preserve"> se alguma delas entrar no conjunto de variáveis. A regra que a define é simples: uma variável só é legítima se seu valor estiver disponível no instante em que o modelo precisa decidir. Está registrado também que, no estágio 2, a categoria deve entrar como valor previsto pelo estágio 1, e não como valor verdadeiro, porque em produção só existe a previsão.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11.5 Limitação declarada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base é sintética e calibrada por indicadores agregados da operação real.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 modelo treinado sobre texto sintético aprende os padrões do gerador, não os do cliente.</w:t>
      </w:r>
      <w:r>
        <w:rPr>
          <w:rFonts w:ascii="Calibri" w:cs="Calibri" w:eastAsia="Calibri" w:hAnsi="Calibri"/>
          <w:sz w:val="22"/>
          <w:szCs w:val="22"/>
        </w:rPr>
        <w:t xml:space="preserve"> O que esta entrega demonstra com solidez é que o processo funciona de ponta a ponta — ingestão, rotulagem, treino, inferência e retorno. É o processo, e não o modelo treinado, que transfere para a operação real.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PRÓXIMOS PASSOS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Construir o estágio 2 do modelo e reportar o AUC obtido contra o teto de 0,750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Converter a carga da bronze para modo incremental e agendá-la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Versionar o código da pipeline de dados em repositório próprio, estendendo a ele o padrão de promoção por Pull Request já em operação na infraestrutura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Publicar o painel de resultados com a saída do modelo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Consolidar a documentação e preparar a apresentação final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20" Type="http://schemas.openxmlformats.org/officeDocument/2006/relationships/image" Target="media/cicl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2026-08-27T22:27:55.451Z</dcterms:created>
  <dcterms:modified xsi:type="dcterms:W3CDTF">2026-08-27T22:27:55.474Z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