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RELATÓRIO DE QUALIDADE DE DADOS (RAIO-X DA BASE)</w:t>
      </w:r>
    </w:p>
    <w:p>
      <w:pPr>
        <w:spacing w:after="20"/>
        <w:jc w:val="center"/>
      </w:pPr>
      <w:r>
        <w:rPr>
          <w:i/>
          <w:iCs/>
          <w:sz w:val="22"/>
          <w:szCs w:val="22"/>
        </w:rPr>
        <w:t xml:space="preserve">Projeto Kenzie 360 — Hands-On MBA Mackenzie (Engenharia de Dados)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Validação da base sintética antes da modelagem — versão final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1. Objetivo e método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relatório documenta a validação de qualidade (“raio-X”) da base do projeto, executada antes de avançar para a modelagem. A base é sintética (fictícia), construída como um “gêmeo estatístico” da operação real de atendimento — calibrada para reproduzir volume, mix de dores, taxa de resolução do bot, satisfação e desfechos — sem utilizar qualquer dado pessoal de clientes (LGPD). Foram executadas 46 checagens automatizadas cobrindo integridade estrutural e referencial, ordem e cronologia, consistência lógica de status e flags, domínios de valores, outliers, qualidade de texto, padronização e descaracterização de dados pessoais.</w:t>
      </w:r>
    </w:p>
    <w:p>
      <w:pPr>
        <w:spacing w:after="10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Resultado global: 46 de 46 checagens aprovadas, sem alertas.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2. Dimensões e integridade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Tabela de conversas: 36.000 linhas × 30 colunas.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Tabela de mensagens (histórico turno a turno): 404.092 linhas × 12 colunas.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Clientes distintos: 15.000 (identificadores pseudonimizados). IDs de conversa duplicados: 0.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Integridade referencial: 0 mensagens órfãs e 0 conversas sem mensagem (100% consistente).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Média de 11,2 mensagens por conversa; ordem sequencial e timestamps sempre crescentes.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Período: 17/02/2026 a 17/08/2026 (6 meses), com volume mensal estável (~6.000/mês; fev e ago parciais).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3. Desfecho das conversas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base modela desfechos realistas, incluindo os casos sem final feliz — que são exatamente as dores que a V2 pretende atacar: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status_conversa</w:t>
            </w:r>
          </w:p>
        </w:tc>
        <w:tc>
          <w:tcPr>
            <w:tcW w:type="dxa" w:w="2000"/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% conversas</w:t>
            </w:r>
          </w:p>
        </w:tc>
      </w:tr>
      <w:tr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Resolvida por humano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31,4%</w:t>
            </w:r>
          </w:p>
        </w:tc>
      </w:tr>
      <w:tr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Resolvida pelo bot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25,3%</w:t>
            </w:r>
          </w:p>
        </w:tc>
      </w:tr>
      <w:tr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Abandonada pelo cliente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17,1%</w:t>
            </w:r>
          </w:p>
        </w:tc>
      </w:tr>
      <w:tr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resposta (disparo ativo)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6,4%</w:t>
            </w:r>
          </w:p>
        </w:tc>
      </w:tr>
      <w:tr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Encerrada sem resolução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6,2%</w:t>
            </w:r>
          </w:p>
        </w:tc>
      </w:tr>
      <w:tr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Transferida - sem resolução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6,0%</w:t>
            </w:r>
          </w:p>
        </w:tc>
      </w:tr>
      <w:tr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Opt-out / descadastro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3,3%</w:t>
            </w:r>
          </w:p>
        </w:tc>
      </w:tr>
      <w:tr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Ruído (engano / já resolvido / sem contexto)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4,3%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Resolvida (consolidado): Sim 56,7% · Não 12,3% · Desconhecido 17,1% (abandono) · Não aplicável 14,0% (ruído e disparos ativos).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Resolução autônoma do bot: 25,3% — dentro da faixa real informada pela operação (25%–40%).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Transferência iniciada: 41,7% · Humano efetivamente atendeu: 37,4%. A diferença (4,3 p.p.) é a fila abandonada.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Interlocutores nas mensagens: Cliente 45,4% · Kenzie 37,9% · Atendente Humano 16,7%.</w:t>
      </w:r>
    </w:p>
    <w:p>
      <w:pPr>
        <w:spacing w:after="100"/>
        <w:jc w:val="both"/>
      </w:pPr>
      <w:r>
        <w:rPr>
          <w:b w:val="false"/>
          <w:bCs w:val="false"/>
          <w:i/>
          <w:iCs/>
          <w:sz w:val="22"/>
          <w:szCs w:val="22"/>
        </w:rPr>
        <w:t xml:space="preserve">Nota metodológica: o campo “resolvida” usa quatro estados propositalmente. Quando o cliente abandona a conversa, o desfecho é marcado como “Desconhecido” em vez de assumir resolução — refletindo o que a operação de fato consegue observar. E as flags de transferência foram desmembradas (iniciada × atendida) para permitir medir separadamente escalonamento e SLA de fila.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4. Representatividade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4.1 Segmentos e arquétipos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Segmentos: CDE (não residentes) 69,7% · Correntista Nacional 27,7% · PJ 2,6% — aderente à realidade informada (PJ é base minúscula, ~3%).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Nove arquétipos: Expat Digital 28,5% · Não Residente Sênior 17,3% · Nacional Prático 10,6% · Nacional Jovem Digital 9,5% · Risco de Churn 8,8% · Alta Renda/Private 8,6% · Expat Code-Switcher 7,9% · Formal/Premium 6,1% · Empresário PJ 2,6%.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Idiomas: Português 59,7% · Inglês 28,8% · Espanhol 11,5%.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Mídia nas falas do cliente: texto 81% · imagem 12% · áudio 7% (realidade do WhatsApp).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4.2 Canais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bot opera exclusivamente no WhatsApp (canal_entrada = WhatsApp em 100% das conversas, refletindo a plataforma Take Blip). O atendimento humano se distribui entre WhatsApp 55,1%, Telefone 27,1% e E-mail 17,8%.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4.3 Coerência de conteúdo por segmento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Validado: nenhum correntista nacional ou PJ apresenta discurso de expatriado (passaporte, residência no exterior), e nenhum CNPJ pergunta o que é CPF. O segmento PJ possui tema corporativo próprio (folha e pagamentos, câmbio comercial, limites corporativos).</w:t>
      </w:r>
    </w:p>
    <w:p>
      <w:pPr>
        <w:spacing w:after="60" w:before="160"/>
      </w:pPr>
      <w:r>
        <w:rPr>
          <w:b/>
          <w:bCs/>
          <w:color w:val="2E74B5"/>
          <w:sz w:val="24"/>
          <w:szCs w:val="24"/>
        </w:rPr>
        <w:t xml:space="preserve">4.4 Recorrência (base para churn)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39,9% dos clientes têm dois ou mais atendimentos no período; média de 2,4 contatos por cliente (teto de 45).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16,8% das conversas são reaberturas — cliente que volta após um caso não resolvido.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Encaminhamentos por área: Cadastro/Onboarding 1.560 · Prevenção a Fraude 1.105 · Câmbio/Backoffice 1.071 · Suporte Técnico 842.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5. Satisfação e sentimento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CSAT do atendimento humano: 3,80 — calibrado com o indicador real da operação (3,8/5).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CSAT do atendimento pelo bot: 4,35 (métrica hoje inexistente na operação — lacuna identificada).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Taxa de resposta da pesquisa: ~30% (69,7% das conversas ficam sem avaliação), reproduzindo a baixa adesão real.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Sentimento final das conversas: Positivo 48,3% · Neutro 28,4% · Negativo 23,2%.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Leitura de negócio: o bot resolve pouco sozinho (25,3%) e 17,1% das conversas terminam em abandono — as dores centrais. O atendimento humano, ponto forte do banco, recupera a maior parte dos casos escalados e sustenta o sentimento final. Um achado relevante é que hoje não se mede a satisfação no canal do bot, ou seja, a operação está cega justamente onde está o maior gargalo.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6. Validação do sentimento para NLP (anti-vazamento)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rótulo de sentimento é derivado do texto das mensagens (expressões emocionais escritas), e não de uma regra oculta ligada ao assunto. A checagem confirma a aderência nos três idiomas — Português: 89,8% das falas negativas e 98,7% das positivas contêm a expressão correspondente; Inglês: 90,4% e 100,0%; Espanhol: 89,4% e 98,3%. As ocorrências restantes são negativas legítimas sem termo do léxico (por exemplo, pedidos de descadastro). Isso garante que um modelo de NLP possa aprender o sentimento de forma legítima, sem “data leakage”.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7. Descaracterização de dados pessoais (LGPD by design)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Reproduzindo o comportamento de um export real, o cliente eventualmente digita dados pessoais dentro do chat. Um pipeline de mascaramento é aplicado na ingestão: o valor bruto nunca é persistido, apenas o marcador correspondente.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17.559 mensagens (4,3%) contêm dado mascarado — [CPF], [TELEFONE], [EMAIL] ou [CONTA].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Verificação automatizada: zero ocorrências de CPF, telefone, e-mail ou conta em formato bruto no dataset.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Rastreabilidade: contem_dado_mascarado (mensagem) e qtd_dados_mascarados (conversa).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Identificador do cliente pseudonimizado por hash estável (ex.: CLI-69A2E37F315A), sem ordem de cadastro.</w:t>
      </w:r>
    </w:p>
    <w:p>
      <w:pPr>
        <w:spacing w:after="100"/>
        <w:jc w:val="both"/>
      </w:pPr>
      <w:r>
        <w:rPr>
          <w:b w:val="false"/>
          <w:bCs w:val="false"/>
          <w:i/>
          <w:iCs/>
          <w:sz w:val="22"/>
          <w:szCs w:val="22"/>
        </w:rPr>
        <w:t xml:space="preserve">Reforço: a base é integralmente sintética. O mascaramento existe para reproduzir com fidelidade o formato de um log real já anonimizado e para evidenciar a governança aplicada — não porque exista qualquer dado real envolvido.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8. Padronização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Identidade do bot padronizada: uma única saudação canônica por idioma, presente em 100% das primeiras falas da Kenzie.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Transcrição em formato único: “[NN] Remetente: texto”, separado por “ || ”, em 100% das conversas.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Encerramento: apenas conversas de abandono e ruído terminam em fala do cliente; todas as demais são encerradas pelo agente.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9. Conclusão</w:t>
      </w:r>
    </w:p>
    <w:p>
      <w:pPr>
        <w:spacing w:after="1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base é realista, estruturalmente sólida e pronta para modelagem (model-ready): integridade perfeita, representatividade calibrada com os indicadores reais da operação, histórico conversacional completo com três interlocutores, desfechos realistas (incluindo abandono, opt-out, ruído e não-resolução), rótulo de sentimento válido para NLP e descaracterização de dados pessoais verificada. Recomenda-se prosseguir para a Sprint 2 (modelagem das camadas do Data Lake e Análise Exploratória).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Qualidade de Dados - Projeto Kenzie 360</dc:title>
  <dc:creator>Ilan David Schapira, Giovanna Caetano Protti &amp; Jonathas Borges</dc:creator>
  <cp:lastModifiedBy>Un-named</cp:lastModifiedBy>
  <cp:revision>1</cp:revision>
  <dcterms:created xsi:type="dcterms:W3CDTF">2026-08-20T23:08:39.513Z</dcterms:created>
  <dcterms:modified xsi:type="dcterms:W3CDTF">2026-08-20T23:08:39.513Z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