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BRIEFING DO PROJETO INTEGRADOR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Disciplina: Hands-On Fundamentos de Dados e Analytics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Módulo 1 – MBA em Engenharia de Dados – Universidade Presbiteriana Mackenzie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Mentoria: Prof. Gustavo Ferreira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Sprint 2 — Seções 5 a 7 · Projeto Kenzie 360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dá continuidade ao Briefing da Sprint 1 (seções 1 a 4). As seções abaixo cobrem a implementação do Data Lake, a análise exploratória e a governança, correspondendo aos entregáveis da Sprint 2. Esta é a versão 3, revisada em 28 de agosto de 2026: uma auditoria do gerador da base sintética, conduzida antes da escolha da variável-alvo do modelo, identificou um erro de denominador na seção 6.5 que inflava a taxa de falha do encaminhamento em 2,01 vezes. As seções 6.2, 6.5, 6.6 e 8 foram corrigidas, e a seção 6.5 registra a natureza do erro. Os eixos (a) e (b) da hipótese não foram afetados.</w:t>
      </w:r>
    </w:p>
    <w:p>
      <w:pPr>
        <w:spacing w:after="160"/>
      </w:pP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ARQUITETURA E IMPLEMENTAÇÃO DO DATA LAKE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Da arquitetura lógica à implementação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Sprint 1 desenhou a arquitetura Lambda na GCP, mapeando as camadas Batch, Speed e Serving ao modelo RAW → TRUSTED → CURATED. A Sprint 2 implementou esse desenho no BigQuery.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0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do Lake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4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(bronze)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kenzie360_bronze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imutável da origem, tudo em STRING, com rastreabilidade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TRUSTED (silver)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kenzie360_silver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Tipado, deduplicado, particionado, PII tratada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CURATED (gold)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kenzie360_gold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views e 1 dimensão, cada uma justificada por um achado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bucket gs://kenzie360-raw-ids26 no Cloud Storage guarda os arquivos originais antes da ingestão, versionados por data. Projeto GCP: kenzie-360-mba, região us-central1.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Decisões técnicas e suas justificativas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decisões abaixo foram tomadas a partir da inspeção da base, não por convenção.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Escolha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data_hora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origem não declara fuso horário. Converter para UTC seria inventar informação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 resolvida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 4 valores (Sim/Não/Desconhecido/Não aplicável). Tratar como booleano perderia a distinção entre 'não resolveu' e 'não se aplica'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Particionamento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data_ref (DATE)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partição, cada consulta varreria as 405 mil mensagens inteiras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segmento, categoria, idioma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São exatamente os filtros mais usados na análise e no dashboard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gold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Views, não tabelas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ocupam armazenamento e nunca ficam defasadas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Conversões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SAFE_CAST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inesperado vira NULL e aparece na validação, em vez de quebrar a carga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O detalhe que quase corrompeu a ingestão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inspeção da base encontrou 4.361 linhas na tabela de atendimentos e 4.842 na de mensagens contendo ponto e vírgula dentro de campos de texto — o mesmo caractere usado como separador do arquivo.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Exemplo real: "Encaminhei para a área de Mesa de Limites; retornaremos em até 48h."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Esses campos vêm corretamente protegidos por aspas duplas, e a prova é que o número de linhas com aspas coincide exatamente com o de linhas com campo extra. A carga só funciona porque declara o caractere de aspas explicitamente. Sem isso, os registros quebrariam em colunas adicionais sem gerar erro — corrupção silenciosa.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Modelagem dimensional para consumo analítico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Além das três camadas do Lake, foram implementados os dois modelos de consumo previstos nos entregáveis da disciplina, ambos na camada CURATED.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 Schema — </w:t>
      </w:r>
      <w:r>
        <w:rPr>
          <w:rFonts w:ascii="Calibri" w:cs="Calibri" w:eastAsia="Calibri" w:hAnsi="Calibri"/>
          <w:sz w:val="22"/>
          <w:szCs w:val="22"/>
        </w:rPr>
        <w:t xml:space="preserve">modelo estrela com grão de um atendimento, composto por uma tabela fato e seis dimensões conformes: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Registros</w:t>
            </w:r>
          </w:p>
        </w:tc>
        <w:tc>
          <w:tcPr>
            <w:tcW w:type="dxa" w:w="5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fato_atendimento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36.000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Grão de um atendimento. Métricas, flags e as seis chaves estrangeiras. Particionada por data e clusterizada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dim_tempo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182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Calendário completo, inclusive dias sem movimento, para séries temporais sem lacunas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dim_cliente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15.001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e métricas de relacionamento: recorrência, primeiro e último contato, faixa de recorrência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dim_assunto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Categoria, produto e a classificação por tipo de ação exigida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dim_canal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Canal de entrada, canal humano e origem do contato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dim_desfecho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Status, cluster de satisfação e modo de falha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dim_motivo_transferencia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Motivo, área de encaminhamento e natureza da limitação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dimensões carregam a inteligência da análise, e não apenas rótulos. A dimensão de assunto já traz o tipo de demanda — informacional, misto ou transacional — que foi o corte revelador da causa do problema. A de desfecho já traz o cluster de satisfação, porque a análise mostrou que o CSAT é bimodal. A de motivo classifica a natureza da limitação: falta de permissão transacional ou necessidade de julgamento humano. Isso evita que cada consulta recalcule as mesmas regras de negócio.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dimensão possui um membro "não aplicável" com chave zero, garantindo que nenhuma linha da fato fique órfã. A validação automática confirmou integridade referencial completa: zero órfãs nas seis dimensões.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Wide Table — </w:t>
      </w:r>
      <w:r>
        <w:rPr>
          <w:rFonts w:ascii="Calibri" w:cs="Calibri" w:eastAsia="Calibri" w:hAnsi="Calibri"/>
          <w:sz w:val="22"/>
          <w:szCs w:val="22"/>
        </w:rPr>
        <w:t xml:space="preserve">a view vw_wide_atendimento entrega o mesmo modelo já desnormalizado, com todas as dimensões resolvidas numa única linha por atendimento. Dispensa junções para treino de modelos e exploração rápida, e é também o caminho mais direto para conectar o Looker Studio, por não exigir configuração de relacionamentos.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Chaves substitutas: </w:t>
      </w:r>
      <w:r>
        <w:rPr>
          <w:rFonts w:ascii="Calibri" w:cs="Calibri" w:eastAsia="Calibri" w:hAnsi="Calibri"/>
          <w:sz w:val="22"/>
          <w:szCs w:val="22"/>
        </w:rPr>
        <w:t xml:space="preserve">geradas por função de hash sobre a chave natural, e não por sequência numérica. A consequência é que recarregar a base produz exatamente as mesmas chaves — o modelo dimensional é tão reproduzível quanto o restante da pipeline.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5.5 Reprodutibilidade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Todo o ambiente é recriável a partir dos scripts que acompanham esta entrega, e cada script valida o próprio resultado, abortando se a contagem divergir do esperado: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gerar_dataset_cde_v8.py — gera a base (SEED = 42, determinístico)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01_carga_bronze.py — envia ao Cloud Storage e carrega a camada bronze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02_cria_silver.py — executa o DDL da silver com validação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06_cria_gold.py — cria e valida as views da gold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05_inventario_bq.py — inventário com checagem de duplicação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DDLs ficam versionados em arquivos .sql separados do código Python que os executa, permitindo revisão do SQL sem leitura de código.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ANÁLISE EXPLORATÓRIA DE DADOS E MÉTRICAS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Metodologia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análise foi conduzida em 22 consultas SQL versionadas sobre a camada silver — 16 exploratórias e 6 de teste direto da hipótese do projeto. Cada consulta grava seu resultado em arquivo próprio, permitindo auditoria independente dos números apresentados.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A hipótese e o veredito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projeto parte de uma tese sobre por que a Kenzie V1 não entrega: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O script do bot não resolve por conta própria — sabe informar, não sabe executar.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Por isso a operação depende cronicamente do atendimento humano.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(c) </w:t>
      </w:r>
      <w:r>
        <w:rPr>
          <w:rFonts w:ascii="Calibri" w:cs="Calibri" w:eastAsia="Calibri" w:hAnsi="Calibri"/>
          <w:sz w:val="22"/>
          <w:szCs w:val="22"/>
        </w:rPr>
        <w:t xml:space="preserve">E o próprio atendimento humano falha, porque a demanda circula entre áreas internas do banco.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três eixos foram testados separadamente e todos se confirmaram.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40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Eixo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Veredito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 central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resolução pelo bot cai de 45,9% em demandas informacionais para 20,9% em transacionais. E 47,7% de toda a demanda é transacional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11.106 horas humanas por ano (6,3 postos em tempo integral) para uma autonomia de apenas 25,2%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(c)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15,9% dos casos que chegam ao atendimento humano terminam sem resolução, consumindo 1.770 horas por ano — e outros 1.481 clientes desistem na fila antes de serem atendidos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 O problema não é linguagem, é permissão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Reclassificando as demandas pelo tipo de ação que exigem — e não pelo assunto — o padrão aparece com nitidez: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600"/>
        <w:gridCol w:w="16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demanda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do total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 resolve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Pede humano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CSAT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Informacional (só consultar)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45,9%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37,0%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3,87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Misto (consulta + ação leve)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20,1%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33,8%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45,0%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3,76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Transacional (exige sistema)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47,7%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20,9%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54,4%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3,65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Quatro indicadores se movem juntos e na mesma direção. A Kenzie entende o pedido — o que ela não tem é permissão de escrita nos sistemas do banco. Desbloquear um PIX, aprovar um documento ou alterar um limite exige executar uma transação, e o bot só sabe devolver texto.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Consequência para a V2: </w:t>
      </w:r>
      <w:r>
        <w:rPr>
          <w:rFonts w:ascii="Calibri" w:cs="Calibri" w:eastAsia="Calibri" w:hAnsi="Calibri"/>
          <w:sz w:val="22"/>
          <w:szCs w:val="22"/>
        </w:rPr>
        <w:t xml:space="preserve">o ganho de automação não virá de treinar melhor o modelo de linguagem, e sim de conceder ao bot acesso transacional aos sistemas internos, com as travas de segurança correspondentes. É decisão de arquitetura e de apetite a risco, não de processamento de linguagem.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6.4 O custo da dependência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bot resolve em 5,2 minutos, contra 24,6 do atendimento humano — e com satisfação maior (CSAT 4,34 contra 4,19). Não existe, nesta operação, o trade-off clássico entre custo e qualidade: automatizar melhora os dois.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2300"/>
      </w:tblGrid>
      <w:tr>
        <w:trPr>
          <w:tblHeader/>
        </w:trPr>
        <w:tc>
          <w:tcPr>
            <w:tcW w:type="dxa" w:w="4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 de autonomia do bot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Ganho anual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Equivalente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 pontos percentuais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2.328 horas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1,3 FTE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40%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3.445 horas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 FTE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50%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5.773 horas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3,3 FTE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60%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8.101 horas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4,6 FTE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é o business case da V2 em uma linha: cada 10 pontos percentuais de autonomia devolvem 1,3 posto de atendimento em tempo integral. E, pelo eixo (a), sabe-se exatamente onde esses pontos estão — nos 47,7% de demanda transacional hoje bloqueada.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6.5 O encaminhamento que consome atendimento e não resolve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eixo (c) foi medido sobre o conjunto de conversas em que um atendente humano efetivamente assumiu o caso — 13.567 no período, e não sobre as 6.744 que trazem área registrada, que é um subconjunto enviesado. A operação perde de duas formas: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perda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4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Desiste na fila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1.481 / ano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Escalou para atendimento humano e desistiu antes de ser atendido — 9,8% de todas as escalações. O cliente nunca chegou a falar com uma pessoa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Atendido sem solução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2.158 / ano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atendente trabalhou o caso por 24,4 minutos — praticamente o mesmo tempo de um caso resolvido — e o cliente saiu sem solução. São 15,9% dos casos atendidos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Juntas, as duas perdas somam 3.639 conversas por ano — 10,1% da operação — que consumiram atendimento e não entregaram resultado. As 2.158 atendidas sem solução equivalem a 1.770 horas de atendente por ano, ou 15,8% de todo o tempo humano da operação. Não há economia de esforço no fracasso: o caso que falha custa praticamente o mesmo que o caso que dá certo.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Medidas sobre o denominador correto, as nove áreas internas resolvem entre 81,7% e 88,5% do que recebem, e a diferença entre elas não sobrevive a um teste de significância: oito das nove ficam dentro de 1,25 desvio-padrão da média. Esta base, contudo, não permite concluir que as áreas sejam equivalentes na operação real — o gerador do gêmeo estatístico atribui a todas a mesma probabilidade de resolução, de modo que a uniformidade observada é uma decisão de modelagem e não um achado empírico. Numa operação real a expectativa é a oposta: áreas com dependência de terceiros, restrição regulatória ou sem permissão de escrita nos sistemas de origem tendem a devolver mais casos. Testar isso exige que a área de destino seja registrada em todos os encaminhamentos, e não apenas quando o caso dá errado — requisito de captura de dado que fica registrado para a V2.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6.6 Demais achados relevantes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satisfação é bimodal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Quem tem o problema resolvido dá entre 3,94 e 4,34; quem não tem, entre 1,75 e 1,87. Não há nenhum desfecho no intervalo. A média de 3,74 é artefato aritmético e não descreve nenhum cliente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atrito acumulado (premissa modelada)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resolução cai de 29,9% no primeiro contato para 15,4% a partir do quinto, e a insatisfação sobe de 22,0% para 36,6%. Estes números não são um achado da análise: são a consequência aritmética do atrito acumulado, estrutura deliberadamente introduzida na recalibração da base (seção 6.8). O que eles dimensionam é o custo dessa premissa, dada a intensidade modelada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barreira de idioma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Dentro do segmento CDE, a variação entre português, inglês e espanhol é de 0,5 ponto percentual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Vale de frustração no meio da conversa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54,5% das falas do terceiro quinto são negativas; o humor só melhora no trecho final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Bloqueio de TED/PIX é a pior dor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14,3% de resolução pelo bot, 58,9% de transferência e a maior duração média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Sobre a ausência de barreira de idioma: </w:t>
      </w:r>
      <w:r>
        <w:rPr>
          <w:rFonts w:ascii="Calibri" w:cs="Calibri" w:eastAsia="Calibri" w:hAnsi="Calibri"/>
          <w:sz w:val="22"/>
          <w:szCs w:val="22"/>
        </w:rPr>
        <w:t xml:space="preserve">este resultado refuta uma hipótese inicial da própria equipe e foi mantido no relatório porque elimina a explicação concorrente mais fácil. A Kenzie atende igualmente mal em três idiomas e nos dois segmentos, o que reforça que a causa é estrutural. O que de fato distingue o cliente CDE é o produto: câmbio, praticamente exclusivo desse público, é demanda transacional pura.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6.7 Um alerta metodológico: composição versus desempenho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Consultando o modelo dimensional, observa-se que, entre as demandas informacionais, o bot resolve 42,5% dos atendimentos de clientes CDE contra 53,6% dos correntistas nacionais — onze pontos percentuais de diferença no tipo de demanda mais simples. À primeira vista, isso contradiz o achado de que não há penalização do público CDE.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diferença, porém, é integralmente explicada pela composição do grupo, e não por qualidade de atendimento: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 dentro de Informacional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no CDE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no Nacional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 resolve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Termos e Documentação BR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47,6%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29,3%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Investimentos CDB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28,6%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52,0%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49,4%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Saldo e Extrato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23,8%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61,1%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Aplicando essas proporções às taxas de cada categoria, a resolução esperada é de 42,9% para o CDE e 52,4% para o nacional — praticamente idêntica à observada. O bot atende os dois públicos com a mesma eficácia dentro de cada categoria; o que difere é a distribuição das perguntas.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achado de negócio: </w:t>
      </w:r>
      <w:r>
        <w:rPr>
          <w:rFonts w:ascii="Calibri" w:cs="Calibri" w:eastAsia="Calibri" w:hAnsi="Calibri"/>
          <w:sz w:val="22"/>
          <w:szCs w:val="22"/>
        </w:rPr>
        <w:t xml:space="preserve">quase metade das dúvidas informacionais do cliente CDE são sobre termos e documentação brasileira — o que é CPF, como funciona o PIX, se o CPF continua válido morando fora. São perguntas de quem não convive com o sistema financeiro brasileiro, e é justamente a categoria informacional com menor resolução. Não se trata de uma limitação de capacidade do bot, e sim de uma lacuna de conteúdo específica desse público, resolvível com material explicativo dedicado.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caso ilustra por que a análise agregada exige cuidado: comparar dois grupos com composições diferentes produz conclusões enganosas. O modelo dimensional permitiu identificar e quantificar o efeito.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6.8 Recalibração da base a partir dos achados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análise exploratória identificou cinco limitações no próprio gerador da base sintética. Três foram corrigidas em uma nova versão: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Sazonalidade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diário plano (variação de 7,7%); segunda-feira igual a domingo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 de dia da semana, vencimento de fatura, tendência e picos de incidente. Variação passou a 30,6%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Fuso horário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90% do volume entre 8h e 19h de Brasília, embora 70% da base resida no exterior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cliente CDE recebe um fuso, e seu horário comercial local é convertido para o de Brasília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Atrito acumulado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 reabertura não alterava o desfecho: o cliente na quarta tentativa era tratado como se fosse a primeira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Contatos prévios e reabertura passam a reduzir a resolução e elevar abandono e insatisfação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recalibração preservou os níveis agregados calibrados com a operação real — resolução pelo bot 25,2%, transferência 41,8%, abandono 17,3%, CSAT 3,74, com desvio máximo de 0,3 ponto percentual. O que mudou foi a distribuição interna, não os totais. O schema permaneceu idêntico, e a pipeline absorveu a mudança sem alteração de código.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GOVERNANÇA, INTEGRAÇÃO CONTÍNUA E INFRAESTRUTURA COMO CÓDIGO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Governança de dados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controle de acesso segue o princípio de menor privilégio, com papéis específicos em vez do papel genérico de Editor: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 acessa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Papel atribuído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bronze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Esteira de ingestão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Editor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silver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Engenharia de dados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Editor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Analistas e Looker Studio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Viewer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Rastreabilidade: as colunas _ingestion_ts e _source_file acompanham cada registro da bronze até a silver, permitindo responder de onde veio e quando entrou qualquer linha da base.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Versionamento de dados: a promoção de uma nova versão da base preserva a anterior em tabelas com sufixo próprio, nos dois datasets. Ambas permanecem consultáveis e comparáveis em SQL.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LGPD: </w:t>
      </w:r>
      <w:r>
        <w:rPr>
          <w:rFonts w:ascii="Calibri" w:cs="Calibri" w:eastAsia="Calibri" w:hAnsi="Calibri"/>
          <w:sz w:val="22"/>
          <w:szCs w:val="22"/>
        </w:rPr>
        <w:t xml:space="preserve">a base é 100% sintética e nenhum dado pessoal foi utilizado. Ainda assim, o pipeline de mascaramento está implementado na transição bronze → silver, aplicando expressões regulares para e-mail e CPF e registrando em coluna própria quando a regra atuou. Telefone ficou deliberadamente de fora: o padrão colide com valores monetários e números de protocolo, e um falso positivo destruiria dado legítimo. Na base atual a regra não encontra ocorrências — os dados já nascem mascarados por construção — mas ela permanece porque em produção a origem é um export real, onde essa garantia não existe.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bronze preserva o texto como veio e é a camada de acesso mais restrito; a silver entrega a versão tratada. Quem consulta a silver não precisa ver o original.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Integração contínua e infraestrutura como código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entrega separa três trilhas de pipeline independentes que compartilham a mesma base de infraestrutura como código, evitando que uma mudança no modelo force o redeploy de toda a infraestrutura: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5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Trilha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Infraestrutura (Terraform)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Buckets, datasets, IAM e políticas de acesso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Implementada e em operação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de dados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e transformações bronze → silver → gold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versionados; esteira prevista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de ML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Treino, avaliação e publicação do modelo de NLP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Prevista; depende da definição do alvo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Repositório: </w:t>
      </w:r>
      <w:r>
        <w:rPr>
          <w:rFonts w:ascii="Calibri" w:cs="Calibri" w:eastAsia="Calibri" w:hAnsi="Calibri"/>
          <w:sz w:val="22"/>
          <w:szCs w:val="22"/>
        </w:rPr>
        <w:t xml:space="preserve">https://github.com/MACK-Hand-on/MACK — público. O histórico de revisão, o Pull Request com o plano do Terraform publicado como comentário e as execuções da esteira ficam visíveis na aba Actions.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trilha de infraestrutura foi implementada e exercitada de ponta a ponta. Nenhuma alteração de infraestrutura chega ao ambiente sem passar por quatro controles encadeados: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Controle aplicado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Abertura do Pull Request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automática de formatação, sintaxe, boas práticas de GCP (tflint) e segurança (checkov)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plano de execução do Terraform é publicado como comentário no próprio PR, legível por quem não domina a ferramenta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branch principal exige Pull Request aprovado por outra pessoa; escrita direta, reescrita de histórico e exclusão estão bloqueadas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Parada obrigatória aguardando aprovação humana registrada, com o comentário do aprovador gravado no histórico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Autenticação: </w:t>
      </w:r>
      <w:r>
        <w:rPr>
          <w:rFonts w:ascii="Calibri" w:cs="Calibri" w:eastAsia="Calibri" w:hAnsi="Calibri"/>
          <w:sz w:val="22"/>
          <w:szCs w:val="22"/>
        </w:rPr>
        <w:t xml:space="preserve">via Workload Identity Federation, sem chaves estáticas de conta de serviço armazenadas como segredos. O GCP confia em uma identidade emitida pelo GitHub para um repositório específico, e a autorização é dupla: uma condição no provedor restringe a organização de origem e um vínculo na conta de serviço restringe o repositório exato. Não existe arquivo de credencial que possa vazar — decisão especialmente relevante em ambiente bancário, onde credenciais de longa duração representam risco desproporcional.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Adoção do ambiente existente: </w:t>
      </w:r>
      <w:r>
        <w:rPr>
          <w:rFonts w:ascii="Calibri" w:cs="Calibri" w:eastAsia="Calibri" w:hAnsi="Calibri"/>
          <w:sz w:val="22"/>
          <w:szCs w:val="22"/>
        </w:rPr>
        <w:t xml:space="preserve">os recursos provisionados manualmente na fundação foram incorporados ao Terraform por importação, e não recriados. A alternativa — aplicar o código como estava — teria criado um segundo conjunto de recursos vazio ao lado do que contém os dados. O plano resultante foi lido três vezes antes da aplicação: localmente, como comentário no PR e na tela de aprovação. O resultado da execução foi de 4 recursos alterados e nenhum destruído, idêntico ao previsto.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Separação de responsabilidades: </w:t>
      </w:r>
      <w:r>
        <w:rPr>
          <w:rFonts w:ascii="Calibri" w:cs="Calibri" w:eastAsia="Calibri" w:hAnsi="Calibri"/>
          <w:sz w:val="22"/>
          <w:szCs w:val="22"/>
        </w:rPr>
        <w:t xml:space="preserve">na execução registrada, quem revisou e mesclou o código e quem autorizou a alteração da infraestrutura foram pessoas distintas, em dois pontos de controle diferentes. A separação não foi combinada previamente — decorre do desenho da esteira, que é precisamente o objetivo de um controle automatizado.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7.3 O que a automação encontrou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argumento a favor de uma esteira de verificação costuma ser apresentado como boas práticas. Neste projeto ele pôde ser verificado: a automação expôs três problemas reais que a revisão humana não havia detectado.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apareceu e o que significava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sem declaração de dependências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tflint apontou, na primeira execução, que o módulo de data lake não declarava versão do Terraform nem do provedor. O módulo funcionava por herdar a configuração de quem o chamava — uma dependência implícita, que quebraria de forma silenciosa se reutilizado em outro contexto. O achado passou por duas revisões humanas antes de a ferramenta encontrá-lo em fração de segundo.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de dados crus sem proteção contra exposição pública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plano do Terraform revelou que a política do bucket estava como herdada, e não imposta. A aplicação a corrigiu para imposta, além de ligar o versionamento de objetos. A infraestrutura como código não apenas documentou o ambiente: corrigiu uma lacuna de segurança que existia no provisionamento manual.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 de aprovação sem regra de proteção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GitHub cria automaticamente qualquer ambiente citado em um fluxo de trabalho, sem nenhuma regra associada. O ambiente de produção existia nessa condição: aparentava ser um portão de aprovação e não era. Só foi detectado ao consultar suas regras por API, e não pela interface, que exibe o ambiente como existente.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três achados têm a mesma natureza: são controles que existiam no papel e não no sistema. Nenhum apareceria em teste funcional, porque nada estava quebrado — apenas desprotegido.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Uma dependência documentada que se materializou: </w:t>
      </w:r>
      <w:r>
        <w:rPr>
          <w:rFonts w:ascii="Calibri" w:cs="Calibri" w:eastAsia="Calibri" w:hAnsi="Calibri"/>
          <w:sz w:val="22"/>
          <w:szCs w:val="22"/>
        </w:rPr>
        <w:t xml:space="preserve">o registro técnico do projeto anotou que transferir o repositório de propriedade invalidaria a configuração de autenticação, e que o ajuste precisaria acompanhar a transferência. Doze horas depois o repositório foi transferido para uma organização. A correção estava escrita e levou dois comandos, sem migração e sem perda de dado. Sem o registro, o sintoma seguinte teria sido uma falha genérica de permissão, sem nenhuma alteração de código que a explicasse.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7.4 Adequação da proposta ao orçamento do projeto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proposta original de arquitetura foi revista para caber no Free Tier da GCP, mantendo o desenho conceitual e substituindo serviços cujo custo inviabilizaria o projeto acadêmico: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Serviço proposto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Substituição adotada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free tier; custo aproximado de US$ 525 por mês em operação contínua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Scheduler com Cloud Run Jobs, ou consultas agendadas do BigQuery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Dataflow (streaming)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Cobrança por worker-hora mesmo ocioso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do Pub/Sub que grava diretamente no BigQuery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DLP 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pago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Mascaramento por expressão regular em SQL, já implementado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Dataplex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Complexidade e custo desproporcionais ao escopo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tags e segurança em nível de coluna, nativos do BigQuery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Cloud Composer permanece documentado como arquitetura alvo para um ambiente bancário de produção, com o trade-off de custo explicitado. A escolha é consciente, não uma limitação técnica.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 sobre o bootstrap: </w:t>
      </w:r>
      <w:r>
        <w:rPr>
          <w:rFonts w:ascii="Calibri" w:cs="Calibri" w:eastAsia="Calibri" w:hAnsi="Calibri"/>
          <w:sz w:val="22"/>
          <w:szCs w:val="22"/>
        </w:rPr>
        <w:t xml:space="preserve">a fundação do ambiente — projeto, APIs e o bucket que guarda o estado do próprio Terraform — foi provisionada manualmente. Fazer o Terraform criar o bucket onde guarda seu estado configuraria uma dependência circular; a separação entre bootstrap manual e recursos versionados é a prática padrão. Os demais recursos, antes provisionados à mão, passaram ao controle do Terraform por importação.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7.5 Custo efetivo do ambiente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8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Consumo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Franquia mensal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no BigQuery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0,543 GiB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GiB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5,4%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 processadas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380 MB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TiB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0,04%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Alerta de orçamento configurado em US$ 20 mensais, com avisos em 10%, 50% e 90% do limite.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7.6 Próximos passos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Publicar o protótipo do dashboard executivo no Looker Studio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Ratificar em grupo a variável-alvo do modelo preditivo/classificatório de NLP, definida em 28/08 e detalhada abaixo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Versionar o código da pipeline de dados em repositório próprio, estendendo a ele o mesmo padrão de promoção por Pull Request já em operação na infraestrutura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Atualizar as ações da esteira que ainda declaram a versão do Node.js em processo de descontinuação pelo GitHub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Quanto ao segundo item, os candidatos foram testados diretamente na base antes de qualquer treino, medindo o teto de desempenho de cada um. A classificação do motivo de transferência mostrou-se inviável: o campo é atribuído por sorteio uniforme no gerador, sem vínculo com texto, assunto ou cliente, o que limita qualquer modelo a 20% de acurácia — o acaso. A previsão de descadastro foi descartada por decorrer de uma regra determinística do próprio gerador. A opção adotada é um pipeline de dois estágios: um classificador de intenção, que deriva do texto de abertura a categoria da demanda e, por mapeamento determinístico, a área de encaminhamento; e sobre ele um escore de risco, que estima a probabilidade de o bot resolver o caso. O segundo estágio é avaliado por AUC e calibração, e não por acurácia — como classificador ele supera em apenas 2,1 pontos percentuais a regra trivial de prever sempre a classe majoritária, enquanto como escore de risco alcança um teto de AUC de 0,750. O resultado a ser reportado é o AUC obtido em relação a esse teto.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2026-08-27T22:27:55.451Z</dcterms:created>
  <dcterms:modified xsi:type="dcterms:W3CDTF">2026-08-27T22:27:55.474Z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