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BRIEFING DO PROJETO INTEGRADOR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Disciplina: Hands-On Fundamentos de Dados e Analytics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Módulo 1 – MBA em Engenharia de Dados – Universidade Presbiteriana Mackenzie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Mentoria: Prof. Gustavo Ferreira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Sprint 3 — Seções 8 a 12 · Projeto Kenzie 360</w:t>
      </w:r>
    </w:p>
    <w:p>
      <w:pPr>
        <w:spacing w:after="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documento dá continuidade aos Briefings das Sprints 1 e 2 (seções 1 a 7). As seções abaixo cobrem a definição do MVP, a arquitetura do ciclo de aprendizado, a auditoria do gerador da base e a versão inicial do modelo preditivo, correspondendo aos entregáveis da Sprint 3.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Duas observações da avaliação da Sprint 2 orientaram o trabalho: a ausência de uma declaração explícita do objetivo final do projeto, e a necessidade de aprofundar o desenho da arquitetura, incluindo o processo de aprendizado do modelo. As seções 8 e 9 respondem a elas.</w:t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DEFINIÇÃO DO MVP E LEVANTAMENTO DE REQUISITOS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8.1 O que a Kenzie 360 é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Kenzie 360 é a camada de inteligência que transforma conversa em decisão. Ela lê a abertura de cada atendimento, estima o risco de o bot não conseguir resolver, e roteia o caso antes que o cliente perceba que entrou no caminho errado. É a fundação sobre a qual a V2 do bot será construída, e o mecanismo pelo qual essa V2 aprende.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Esta definição responde a uma lacuna apontada na avaliação da Sprint 2: o projeto apresentava a implementação técnica sem declarar qual produto ela constrói. As três leituras possíveis — uma memória conversacional, um bot, a fundação da V2 — foram resolvidas em favor da terceira, com a primeira como meio e a segunda como consequência futura, fora do escopo deste semestre.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Kenzie 360 explicitamente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é</w:t>
      </w:r>
      <w:r>
        <w:rPr>
          <w:rFonts w:ascii="Calibri" w:cs="Calibri" w:eastAsia="Calibri" w:hAnsi="Calibri"/>
          <w:sz w:val="22"/>
          <w:szCs w:val="22"/>
        </w:rPr>
        <w:t xml:space="preserve">: a V2 do bot, que escreveria respostas e conversaria; um relatório, já que a saída principal é uma decisão tomada durante o atendimento e não um documento lido depois; e não é um modelo treinado uma única vez, porque o processo de aprendizado contínuo faz parte do produto.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8.2 Quem consome a saída, e o que muda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mesmo motor serve dois consumidores em latências diferentes, e eles correspondem exatamente às duas camadas da arquitetura Lambda adotada no projeto.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bot, na abertura da conversa — camada de velocidade.</w:t>
      </w:r>
      <w:r>
        <w:rPr>
          <w:rFonts w:ascii="Calibri" w:cs="Calibri" w:eastAsia="Calibri" w:hAnsi="Calibri"/>
          <w:sz w:val="22"/>
          <w:szCs w:val="22"/>
        </w:rPr>
        <w:t xml:space="preserve"> Entra o texto da primeira mensagem, sai a rota. Hoje toda conversa entra no script e o cliente descobre que o bot não resolve depois de catorze minutos; com a Kenzie 360 o caso de alto risco vai direto ao atendimento humano com contexto, e a decisão acontece no primeiro turno. A decisão é automática: não há aprovação humana prévia, porque o cliente está aguardando na conversa e não existe supervisor capaz de aprovar roteamento ao vivo em escala.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supervisor, depois — camada de lote e serviço.</w:t>
      </w:r>
      <w:r>
        <w:rPr>
          <w:rFonts w:ascii="Calibri" w:cs="Calibri" w:eastAsia="Calibri" w:hAnsi="Calibri"/>
          <w:sz w:val="22"/>
          <w:szCs w:val="22"/>
        </w:rPr>
        <w:t xml:space="preserve"> Ele vê a fila do que já foi roteado, com a probabilidade que gerou cada decisão, e pode marcar um caso como roteado incorretamente. Essa marcação é o rótulo que alimenta o retreino. O supervisor não é um portão de aprovação: é a fonte de aprendizado do sistema. Sem esse papel, o modelo é treinado uma vez e envelhece em silêncio.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8.3 A decisão de negócio que muda, e a assimetria que a orienta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Antes, a operação descobre que uma demanda não tinha solução no bot depois de gastar o tempo do bot, o tempo da fila e a paciência do cliente. Depois, ela decide na abertura onde cada caso deve ser resolvido, e passa a saber quanto custa cada erro dessa decisão.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 de roteamento</w:t>
            </w:r>
          </w:p>
        </w:tc>
        <w:tc>
          <w:tcPr>
            <w:tcW w:type="dxa" w:w="5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Encaminhou ao humano um caso que o bot resolveria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 de atendente. O cliente é bem atendido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Manteve no bot um caso que vai falhar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cliente percorre a jornada que falha, se irrita e, pelo atrito acumulado (seção 6.6), volta em pior situação e é atendido em pior situação</w:t>
            </w:r>
          </w:p>
        </w:tc>
      </w:tr>
    </w:tbl>
    <w:p>
      <w:pPr>
        <w:spacing w:after="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segundo erro é mais caro, e seu custo não termina naquela conversa.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política de roteamento deve, portanto, pender para rotear demais, e não de menos.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8.4 Requisitos do MVP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Requisitos funcionais: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RF1 — classificar a intenção a partir do texto de abertura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RF2 — estimar a probabilidade de resolução pelo bot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RF3 — devolver uma rota: seguir no bot, ou encaminhar ao humano com contexto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RF4 — registrar decisão e probabilidade de cada caso, para auditoria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RF5 — permitir ao supervisor marcar uma decisão como incorreta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RF6 — apresentar painel com a fila priorizada por risco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Requisitos não funcionais: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RNF1 — executar dentro do free tier da Google Cloud Platform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RNF2 — ingestão incremental: processar apenas o lote novo, sem duplicar registros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RNF3 — reprodutibilidade: mesma semente, mesmo resultado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RNF4 — nenhum dado pessoal na base ou nos artefatos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RNF5 — código versionado, incluindo o da pipeline de dados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RNF6 — nenhuma variável indisponível no momento em que a decisão é tomada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8.5 Onde cortar: uma decisão de produto, não de estatística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modelo devolve uma probabilidade contínua. Onde colocar o corte que separa seguir no bot de encaminhar ao humano é decisão de produto, e não depende do modelo: depende de quanto volume a equipe humana consegue absorver. A calibração tem três passos — ordenar as conversas pela probabilidade de falha, descer a lista até o volume diário que a operação comporta, e adotar como corte a probabilidade nesse ponto.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corte agressivo demais entope a fila humana; um conservador demais faz o modelo não mudar nada. O parâmetro deve ser revisto sempre que a capacidade da operação mudar, e nesta entrega será fixado apenas para fins de demonstração.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8.6 Fora de escopo desta entrega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Integração com o bot em produção. Tempo real, aqui, significa o caminho de inferência demonstrado de ponta a ponta em uma conversa, e não um serviço implantado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Streaming por Pub/Sub, que permanece no desenho como evolução declarada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Retreino automático: o ciclo é desenhado e o gatilho definido, mas a execução automática fica para depois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Geração de resposta. O produto decide a rota, não escreve o texto</w:t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ARQUITETURA DO CICLO DE APRENDIZADO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9.1 O que faltava no desenho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arquitetura desenhada na Sprint 1 descreve corretamente um pipeline analítico: o dado entra pela ingestão, atravessa as camadas e sai no dashboard. É um fluxo de mão única, e é por isso que a avaliação da Sprint 2 não encontrou nele o objetivo final do projeto.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pipeline analítico produz relatórios. O que este projeto constrói é um sistema que melhora com o uso, e isso exige um caminho de retorno que não estava desenhado: conversas novas geram rotulagem, que alimenta o retreino, que produz um modelo melhor, que influencia o atendimento seguinte, que vira conversa nova.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9.2 Os cinco estágios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500"/>
      </w:tblGrid>
      <w:tr>
        <w:trPr>
          <w:tblHeader/>
        </w:trPr>
        <w:tc>
          <w:tcPr>
            <w:tcW w:type="dxa" w:w="2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Estágio</w:t>
            </w:r>
          </w:p>
        </w:tc>
        <w:tc>
          <w:tcPr>
            <w:tcW w:type="dxa" w:w="4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Situação nesta entrega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Ingestão incremental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Scheduler dispara um Cloud Run Job que carrega apenas o lote novo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construir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Camadas bronze, silver e gold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Tipagem, deduplicação e views de consumo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Rotulagem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Rótulo operacional mais revisão humana amostral, que corrige o modelo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Desenhado; demonstrado com os rótulos existentes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Treino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Treino sobre a base rotulada, avaliação contra o modelo em produção e registro de versão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Versão inicial construída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Inferência e retorno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Triagem na abertura e painel do supervisor; o atendimento resultante volta a ser dado de entrada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 lote nesta entrega</w:t>
            </w:r>
          </w:p>
        </w:tc>
      </w:tr>
    </w:tbl>
    <w:p>
      <w:pPr>
        <w:spacing w:after="0"/>
      </w:pPr>
    </w:p>
    <w:p>
      <w:pPr>
        <w:spacing w:after="80" w:before="160"/>
        <w:jc w:val="center"/>
      </w:pPr>
      <w:r>
        <w:drawing>
          <wp:inline distT="0" distB="0" distL="0" distR="0">
            <wp:extent cx="5715000" cy="3485000"/>
            <wp:effectExtent l="0" t="0" r="0" b="0"/>
            <wp:docPr id="101" name="Figura" descr="Figura 3 — O ciclo de aprendizado da Kenzie 360, com os serviços de cada estágio. A seta em destaque é o caminho de retorno que distingue um sistema que aprende de um pipeline analíti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cicl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  <w:color w:val="5C6B78"/>
        </w:rPr>
        <w:t xml:space="preserve">Figura 3 — O ciclo de aprendizado da Kenzie 360, com os serviços de cada estágio. A seta em destaque é o caminho de retorno que distingue um sistema que aprende de um pipeline analítico.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estágio 3 é o que não existia em nenhum desenho anterior, e é a peça de maior valor para a aplicação em operação real. Um modelo sem processo de rotulagem funciona no dia da entrega e degrada em silêncio depois.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9.3 A ingestão incremental está mais próxima do que parecia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auditoria da camada de dados encontrou que a silver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já está pronta para carga incremental</w:t>
      </w:r>
      <w:r>
        <w:rPr>
          <w:rFonts w:ascii="Calibri" w:cs="Calibri" w:eastAsia="Calibri" w:hAnsi="Calibri"/>
          <w:sz w:val="22"/>
          <w:szCs w:val="22"/>
        </w:rPr>
        <w:t xml:space="preserve">: ela deduplica por chave de negócio, com prevalência da ingestão mais recente. Se o mesmo registro entrar duas vezes, a versão nova prevalece e a antiga é descartada.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único bloqueio está na bronze, que carrega em modo de substituição total. Trocar para modo incremental, mantendo o particionamento e as colunas de procedência que já existem, converte a pipeline atual sem reescrever a silver nem a gold. Para demonstrar o ciclo sem gerar base nova, a última semana do período é retida e carregada separadamente, como se fosse o lote que chegou depois.</w:t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AUDITORIA DO GERADOR E REVISÃO DA ANÁLISE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10.1 Por que auditar antes de modelar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Antes de escolher a variável-alvo do modelo, o gerador da base sintética foi auditado. A motivação era prática: em base sintética, é o gerador — e não a análise — que determina o que pode ser aprendido. Um alvo cuja regra a própria equipe escreveu produz acurácia alta e valor probatório nulo.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auditoria encontrou o que se buscava, e também o que não se buscava: um erro na análise exploratória apresentada na Sprint 2.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10.2 O erro de denominador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seção 6.5 calculava a taxa de falha do encaminhamento sobre as conversas com área registrada. No gerador, o caso resolvido registra a área em apenas 40% das vezes, enquanto o caso não resolvido a registra sempre. O denominador excluía três em cada cinco sucessos e nenhum fracasso, e a inflação era de exatamente 2,01 vezes.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600"/>
      </w:tblGrid>
      <w:tr>
        <w:trPr>
          <w:tblHeader/>
        </w:trPr>
        <w:tc>
          <w:tcPr>
            <w:tcW w:type="dxa" w:w="3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Publicado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Correto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resolução no atendimento humano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32,0%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15,9%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por área interna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64,0% a 69,6%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81,7% a 88,5%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Satisfação por área interna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3,29 a 3,54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3,74 a 3,90</w:t>
            </w:r>
          </w:p>
        </w:tc>
      </w:tr>
    </w:tbl>
    <w:p>
      <w:pPr>
        <w:spacing w:after="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Duas conclusões caíram junto. A afirmação de que Cartões seria a área de pior desempenho era ruído estatístico: 2,41 desvios-padrão em nove comparações simultâneas, exatamente o que o acaso produz. E a tese dos dois modos de falha era artefato, porque o motivo de transferência só é atribuído quando um atendente humano assume o caso — de modo que as conversas sem motivo que foram atendidas são, por construção, apenas as resolvidas.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eixos (a) e (b) da hipótese não foram afetados. O custo anual recalculado deu 11.197 horas contra as 11.106 publicadas, diferença de 0,8% e dentro do arredondamento.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10.3 O reposicionamento do atrito acumulado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mesma auditoria mostrou que o efeito da recorrência não é um achado da análise: é um parâmetro deliberadamente introduzido na recalibração da base, com queda de 7% na resolução a cada contato prévio e 18% adicionais quando a conversa é reabertura.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estrutura continua defensável — a alternativa, um modelo em que reincidir não muda nada, é claramente falsa sobre qualquer operação real, e os níveis agregados permanecem ancorados nos indicadores da operação. O que mudou foi o enquadramento: a seção passou a declarar os parâmetros e a apresentar os números como dimensionamento de uma premissa, e não como descoberta. A recomendação prática sobrevive independentemente da magnitude: o histórico de contatos precisa estar disponível na abertura da conversa.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10.4 Três parâmetros recuperados às cegas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correção foi validada de forma independente. O cálculo refeito recuperou três constantes conhecidas do gerador, por caminhos que não se comunicam entre si: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Constante no gerador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Medido pela análise corrigida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pelo atendimento humano: 0,84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84,09%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Motivo de transferência: sorteio uniforme entre cinco, 0,20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20,0%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Desistência na fila: 0,10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9,84%</w:t>
            </w:r>
          </w:p>
        </w:tc>
      </w:tr>
    </w:tbl>
    <w:p>
      <w:pPr>
        <w:spacing w:after="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números por área foram obtidos duas vezes, uma por consulta SQL sobre o data warehouse e outra por processamento local do arquivo de origem, com resultados idênticos nas nove áreas. Quando dois caminhos independentes chegam ao mesmo valor, o cálculo está correto.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10.5 O que a base permite e não permite afirmar sobre as áreas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Medidas corretamente, as nove áreas internas resolvem em torno de 84% e nenhuma se distingue das demais. Isso não é evidência de que sejam equivalentes na operação real: o gerador atribui a todas a mesma probabilidade de resolução, e a uniformidade observada é decisão de modelagem, não achado empírico.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Numa operação real a expectativa é a oposta. Áreas com dependência de terceiros, restrição regulatória ou sem permissão de escrita nos sistemas de origem tendem a devolver mais casos. Testar isso exige que a área de destino seja registrada em todos os encaminhamentos, e não apenas quando o caso dá errado. Esse é um requisito de captura de dado que fica registrado para a V2.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Pelo mesmo método testou-se se as filas perdem clientes em proporções diferentes antes do atendimento. Não perdem: qui-quadrado de 14,86 com oito graus de liberdade e p de 0,062, com o maior desvio individual em 2,00 sigma contra os 2,1 esperados para o máximo de nove sorteios. O resultado negativo é registrado por ser instrutivo — um valor de p nessa faixa é exatamente o que tenta a leitura apressada.</w:t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11. MODELAGEM PREDITIVA — VERSÃO INICIAL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11.1 A escolha do alvo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candidatos foram testados diretamente na base antes de qualquer treino, medindo o teto de desempenho de cada um. A classificação do motivo de transferência mostrou-se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inviável</w:t>
      </w:r>
      <w:r>
        <w:rPr>
          <w:rFonts w:ascii="Calibri" w:cs="Calibri" w:eastAsia="Calibri" w:hAnsi="Calibri"/>
          <w:sz w:val="22"/>
          <w:szCs w:val="22"/>
        </w:rPr>
        <w:t xml:space="preserve">: o campo é atribuído por sorteio uniforme no gerador, sem vínculo com texto, assunto ou cliente. Os cinco motivos aparecem entre 19,4% e 20,5%, e cada um se distribui pelas nove áreas na mesma proporção, o que limita qualquer modelo a 20% de acurácia — o acaso.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previsão de descadastro foi descartada por decorrer de regra determinística do próprio gerador, e a classificação do tipo de demanda por circularidade com a categoria.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opção adotada é um pipeline de dois estágios.</w:t>
      </w:r>
      <w:r>
        <w:rPr>
          <w:rFonts w:ascii="Calibri" w:cs="Calibri" w:eastAsia="Calibri" w:hAnsi="Calibri"/>
          <w:sz w:val="22"/>
          <w:szCs w:val="22"/>
        </w:rPr>
        <w:t xml:space="preserve"> O primeiro classifica a intenção, derivando do texto de abertura a categoria da demanda e, por mapeamento determinístico, a área de encaminhamento. O segundo estima a probabilidade de o bot resolver o caso, a partir da categoria prevista e do histórico do cliente. Um alimenta o outro, e juntos constituem a triagem na abertura.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11.2 Tetos medidos antes do treino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Medir o teto antes de treinar é o que permite ler o resultado com honestidade: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00"/>
      </w:tblGrid>
      <w:tr>
        <w:trPr>
          <w:tblHeader/>
        </w:trPr>
        <w:tc>
          <w:tcPr>
            <w:tcW w:type="dxa" w:w="4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Estágio e métrica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Teto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Estágio 1 — acurácia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14,48%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100,00%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Estágio 2 — acurácia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74,77%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76,88%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Estágio 2 — AUC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0,500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0,750</w:t>
            </w:r>
          </w:p>
        </w:tc>
      </w:tr>
    </w:tbl>
    <w:p>
      <w:pPr>
        <w:spacing w:after="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teto de 100% do estágio 1 decorre de nenhuma das 11.438 aberturas distintas aparecer em mais de uma categoria. Já o estágio 2, como classificador, supera o baseline em apenas 2,1 pontos percentuais e é praticamente inútil nesse formato; como escore de risco, ordena conversas por probabilidade de falha com um teto que significa alguma coisa.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resultado do projeto é o AUC do estágio 2 contra 0,750, e não a acurácia do estágio 1.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11.3 Estágio 1: resultado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Baseline (prever sempre a classe majoritária)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14,48%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Acurácia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99,99%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F1 macro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99,93%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Teto do problema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100,00%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Acurácia do roteamento (categoria para área)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99,99%</w:t>
            </w:r>
          </w:p>
        </w:tc>
      </w:tr>
    </w:tbl>
    <w:p>
      <w:pPr>
        <w:spacing w:after="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conjunto foi dividido por cliente, e não por conversa, porque contatos prévios e reabertura ligam as conversas de um mesmo cliente: dividir por conversa faria o mesmo cliente aparecer nos dois lados, e o modelo memorizaria trajetórias em vez de aprender padrões. Foram 25.415 conversas de treino e 8.383 de teste, com interseção de clientes verificada em zero antes do treino.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Houve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um erro em 8.383 casos</w:t>
      </w:r>
      <w:r>
        <w:rPr>
          <w:rFonts w:ascii="Calibri" w:cs="Calibri" w:eastAsia="Calibri" w:hAnsi="Calibri"/>
          <w:sz w:val="22"/>
          <w:szCs w:val="22"/>
        </w:rPr>
        <w:t xml:space="preserve"> — uma conversa de operações de pessoa jurídica classificada como câmbio. Esse segmento representa 0,6% da base e possui aberturas próprias. O erro isolado é a evidência de que o modelo generaliza em vez de decorar: um resultado de 100,00% cravado indicaria uma tabela de consulta.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representação de texto usa n-gramas de caractere, e não de palavra, escolha ditada pela base: três idiomas, abreviações, erros de digitação injetados deliberadamente e alternância entre português e inglês nos clientes expatriados.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11.4 Controle de vazamento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tabela de atendimentos possui trinta colunas, e a maioria só existe depois que a conversa terminou. Satisfação, duração, número de mensagens e status são consequência do desfecho; um modelo que as utilizasse alcançaria desempenho excelente e inútil, já que no momento da decisão nenhuma delas existe.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script de treino carrega uma lista de dezoito colunas proibidas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interrompe a execução</w:t>
      </w:r>
      <w:r>
        <w:rPr>
          <w:rFonts w:ascii="Calibri" w:cs="Calibri" w:eastAsia="Calibri" w:hAnsi="Calibri"/>
          <w:sz w:val="22"/>
          <w:szCs w:val="22"/>
        </w:rPr>
        <w:t xml:space="preserve"> se alguma delas entrar no conjunto de variáveis. A regra que a define é simples: uma variável só é legítima se seu valor estiver disponível no instante em que o modelo precisa decidir. Está registrado também que, no estágio 2, a categoria deve entrar como valor previsto pelo estágio 1, e não como valor verdadeiro, porque em produção só existe a previsão.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11.5 Limitação declarada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base é sintética e calibrada por indicadores agregados da operação real.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Um modelo treinado sobre texto sintético aprende os padrões do gerador, não os do cliente.</w:t>
      </w:r>
      <w:r>
        <w:rPr>
          <w:rFonts w:ascii="Calibri" w:cs="Calibri" w:eastAsia="Calibri" w:hAnsi="Calibri"/>
          <w:sz w:val="22"/>
          <w:szCs w:val="22"/>
        </w:rPr>
        <w:t xml:space="preserve"> O que esta entrega demonstra com solidez é que o processo funciona de ponta a ponta — ingestão, rotulagem, treino, inferência e retorno. É o processo, e não o modelo treinado, que transfere para a operação real.</w:t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12. PRÓXIMOS PASSOS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Construir o estágio 2 do modelo e reportar o AUC obtido contra o teto de 0,750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Converter a carga da bronze para modo incremental e agendá-la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Versionar o código da pipeline de dados em repositório próprio, estendendo a ele o padrão de promoção por Pull Request já em operação na infraestrutura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Publicar o painel de resultados com a saída do modelo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Consolidar a documentação e preparar a apresentação final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20" Type="http://schemas.openxmlformats.org/officeDocument/2006/relationships/image" Target="media/ciclo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2026-08-27T22:27:55.451Z</dcterms:created>
  <dcterms:modified xsi:type="dcterms:W3CDTF">2026-08-27T22:27:55.474Z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