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534AB7"/>
          <w:sz w:val="30"/>
          <w:szCs w:val="30"/>
        </w:rPr>
        <w:t xml:space="preserve">PROJETO KENZIE 360</w:t>
      </w:r>
    </w:p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Arquitetura Lambda na Google Cloud Platform</w:t>
      </w:r>
    </w:p>
    <w:p>
      <w:pPr>
        <w:spacing w:after="600"/>
        <w:jc w:val="center"/>
      </w:pPr>
      <w:r>
        <w:rPr>
          <w:i/>
          <w:iCs/>
          <w:color w:val="5F5E5A"/>
          <w:sz w:val="24"/>
          <w:szCs w:val="24"/>
        </w:rPr>
        <w:t xml:space="preserve">Estado atual da implementação, arquitetura completa e roadmap</w:t>
      </w:r>
    </w:p>
    <w:p>
      <w:pPr>
        <w:spacing w:after="40"/>
        <w:jc w:val="center"/>
      </w:pPr>
      <w:r>
        <w:rPr>
          <w:sz w:val="20"/>
          <w:szCs w:val="20"/>
        </w:rPr>
        <w:t xml:space="preserve">Documento de apresentação — Sprint 2</w:t>
      </w:r>
    </w:p>
    <w:p>
      <w:pPr>
        <w:spacing w:after="40"/>
        <w:jc w:val="center"/>
      </w:pPr>
      <w:r>
        <w:rPr>
          <w:sz w:val="20"/>
          <w:szCs w:val="20"/>
        </w:rPr>
        <w:t xml:space="preserve">Bot de atendimento V2 — dados majoritariamente CDE</w:t>
      </w:r>
    </w:p>
    <w:p>
      <w:pPr>
        <w:jc w:val="center"/>
      </w:pPr>
      <w:r>
        <w:rPr>
          <w:color w:val="5F5E5A"/>
          <w:sz w:val="20"/>
          <w:szCs w:val="20"/>
        </w:rPr>
        <w:t xml:space="preserve">Agosto de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Objetivo deste documento</w:t>
      </w:r>
    </w:p>
    <w:p>
      <w:pPr>
        <w:spacing w:after="160" w:line="300"/>
      </w:pPr>
      <w:r>
        <w:t xml:space="preserve">Este documento consolida a arquitetura de dados do Projeto Kenzie 360, reunindo três fontes que foram produzidas em momentos diferentes do trabalho: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desenho lógico da arquitetura Lambda (Sprint 1), mapeando as camadas Batch, Speed e Serving ao modelo de Data Lake RAW → TRUSTED → CURATED;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briefing acadêmico em PDF, com a mesma proposta em formato resumido;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repositório de infraestrutura como código (Terraform + GitHub Actions), que é a parte do projeto que já foi efetivamente implementada e provisionada no GCP.</w:t>
      </w:r>
    </w:p>
    <w:p>
      <w:pPr>
        <w:spacing w:after="160" w:line="300"/>
      </w:pPr>
      <w:r>
        <w:t xml:space="preserve">O objetivo é apresentar a arquitetura completa de forma honesta quanto ao estado atual: o que já está rodando de verdade, o que existe apenas como desenho conceitual, e o que ainda depende de decisões futuras do time. Isso evita a leitura de que "o projeto está pronto" quando, na prática, a Sprint 2 entregou a fundação — os depósitos de dados e a esteira de automação — e não a esteira de dados fim a fim.</w:t>
      </w:r>
    </w:p>
    <w:p>
      <w:pPr>
        <w:spacing w:after="160" w:line="300"/>
      </w:pPr>
      <w:r>
        <w:t xml:space="preserve">Nota de revisão de 01/09/2026. A primeira versão deste documento auditou o repositório de infraestrutura e concluiu, corretamente para aquele escopo, que o processamento entre as camadas e o mascaramento de PII não estavam implementados. Uma verificação posterior mostrou que ambos estão em operação há mais de uma semana, com 36.000 atendimentos e 405.073 mensagens carregados. A divergência não era de leitura: é que o código da pipeline vive apenas na pasta local do projeto e nunca foi versionado no repositório.</w:t>
      </w:r>
    </w:p>
    <w:p>
      <w:pPr>
        <w:spacing w:after="160" w:line="300"/>
      </w:pPr>
      <w:r>
        <w:t xml:space="preserve">Esse episódio é o argumento mais concreto a favor do item de versionamento listado na seção 7. Um integrante da própria equipe, auditando o repositório com método correto, concluiu que a camada de dados não existia. Um avaliador externo chegaria à mesma conclusão mais rápido. As linhas afetadas da tabela da seção 2 e da tabela da seção 6 foram corrigidas.</w:t>
      </w:r>
    </w:p>
    <w:p>
      <w:pPr>
        <w:pStyle w:val="Heading1"/>
        <w:spacing w:after="160" w:before="360"/>
      </w:pPr>
      <w:r>
        <w:t xml:space="preserve">2. Estado atual do projeto</w:t>
      </w:r>
    </w:p>
    <w:p>
      <w:pPr>
        <w:spacing w:after="160" w:line="300"/>
      </w:pPr>
      <w:r>
        <w:t xml:space="preserve">A tabela abaixo resume o que existe hoje, com evidência de onde isso está implementado, contra o que ainda é apenas planejado ou conceitual.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3200"/>
      </w:tblGrid>
      <w:tr>
        <w:trPr>
          <w:tblHeader/>
        </w:trPr>
        <w:tc>
          <w:tcPr>
            <w:tcW w:type="dxa" w:w="3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9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Bucket RAW no Cloud Storage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Implementado e adotado via Terraform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infra/modules/data-lake/main.tf — google_storage_bucket.raw</w:t>
            </w:r>
          </w:p>
        </w:tc>
      </w:tr>
      <w:tr>
        <w:tc>
          <w:tcPr>
            <w:tcW w:type="dxa" w:w="3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Datasets BRONZE / SILVER / GOLD no BigQuery</w:t>
            </w:r>
          </w:p>
        </w:tc>
        <w:tc>
          <w:tcPr>
            <w:tcW w:type="dxa" w:w="29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Implementado e adotado via Terraform</w:t>
            </w:r>
          </w:p>
        </w:tc>
        <w:tc>
          <w:tcPr>
            <w:tcW w:type="dxa" w:w="32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infra/modules/data-lake/main.tf — google_bigquery_dataset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 de CI/CD (validação + plano + apply)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.github/workflows/infra-cicd.yml</w:t>
            </w:r>
          </w:p>
        </w:tc>
      </w:tr>
      <w:tr>
        <w:tc>
          <w:tcPr>
            <w:tcW w:type="dxa" w:w="3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 dev</w:t>
            </w:r>
          </w:p>
        </w:tc>
        <w:tc>
          <w:tcPr>
            <w:tcW w:type="dxa" w:w="29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Provisionado e adotado (terraform import)</w:t>
            </w:r>
          </w:p>
        </w:tc>
        <w:tc>
          <w:tcPr>
            <w:tcW w:type="dxa" w:w="32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infra/environments/dev/terraform.tfvars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 prod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Estrutura pronta, projeto GCP ainda não existe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infra/environments/prod/terraform.tfvars (placeholder)</w:t>
            </w:r>
          </w:p>
        </w:tc>
      </w:tr>
      <w:tr>
        <w:tc>
          <w:tcPr>
            <w:tcW w:type="dxa" w:w="3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Processamento Batch (Dataflow/SQL) que move RAW→BRONZE→SILVER→GOLD</w:t>
            </w:r>
          </w:p>
        </w:tc>
        <w:tc>
          <w:tcPr>
            <w:tcW w:type="dxa" w:w="29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Implementado e em operação</w:t>
            </w:r>
          </w:p>
        </w:tc>
        <w:tc>
          <w:tcPr>
            <w:tcW w:type="dxa" w:w="32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01_carga_bronze.py · 02_cria_silver.py · 06_cria_gold.py · 07_cria_star_schema.py e os DDLs em sql/ — 36.000 atendimentos e 405.073 mensagens carregados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Speed layer (Pub/Sub streaming)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Conceitual. Passou a ter função definida: serve a decisão de roteamento em tempo real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Rascunho_Arquitetura_Lambda_GCP.md, nota didática</w:t>
            </w:r>
          </w:p>
        </w:tc>
      </w:tr>
      <w:tr>
        <w:tc>
          <w:tcPr>
            <w:tcW w:type="dxa" w:w="3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Mascaramento de PII / DLP</w:t>
            </w:r>
          </w:p>
        </w:tc>
        <w:tc>
          <w:tcPr>
            <w:tcW w:type="dxa" w:w="29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Implementado em SQL; DLP não utilizado</w:t>
            </w:r>
          </w:p>
        </w:tc>
        <w:tc>
          <w:tcPr>
            <w:tcW w:type="dxa" w:w="32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02_cria_silver.py — regex de CPF e e-mail na transição bronze→silver, com a coluna pii_remascarada marcando as linhas afetadas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de IAM granular por camada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Planejado, não implementado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infra/README.md, "próximos incrementos"</w:t>
            </w:r>
          </w:p>
        </w:tc>
      </w:tr>
      <w:tr>
        <w:tc>
          <w:tcPr>
            <w:tcW w:type="dxa" w:w="3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Orquestração entre camadas</w:t>
            </w:r>
          </w:p>
        </w:tc>
        <w:tc>
          <w:tcPr>
            <w:tcW w:type="dxa" w:w="29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Decidido: Cloud Scheduler + Cloud Run Jobs. A construir</w:t>
            </w:r>
          </w:p>
        </w:tc>
        <w:tc>
          <w:tcPr>
            <w:tcW w:type="dxa" w:w="32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infra/README.md — Composer não tem free tier (~US$525/mês)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 de CI/CD da aplicação (chat)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Desenhado, mas fora do 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docs/proposta-cicd-aplicacao.yml, movido para fora de .github/workflows</w:t>
            </w:r>
          </w:p>
        </w:tc>
      </w:tr>
    </w:tbl>
    <w:p>
      <w:pPr>
        <w:pStyle w:val="Heading1"/>
        <w:spacing w:after="160" w:before="360"/>
      </w:pPr>
      <w:r>
        <w:t xml:space="preserve">3. Arquitetura de dados completa</w:t>
      </w:r>
    </w:p>
    <w:p>
      <w:pPr>
        <w:spacing w:after="160" w:line="300"/>
      </w:pPr>
      <w:r>
        <w:t xml:space="preserve">A arquitetura combina o desenho conceitual da Lambda Architecture (Batch, Speed e Serving) com a implementação real em Terraform, que usa uma nomenclatura mais granular — o padrão "medalhão" (RAW → BRONZE → SILVER → GOLD). O BRONZE é a camada que aparece no código mas não estava descrita nos documentos de briefing: é o ponto em que o CSV bruto vira, pela primeira vez, uma tabela SQL consultável, antes de qualquer limpeza.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32497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18"/>
          <w:szCs w:val="18"/>
        </w:rPr>
        <w:t xml:space="preserve">Figura 1 — Fluxo de dados desde a origem até o consumo, com o estado de cada etapa.</w:t>
      </w:r>
    </w:p>
    <w:p>
      <w:pPr>
        <w:pStyle w:val="Heading2"/>
        <w:spacing w:after="120" w:before="260"/>
      </w:pPr>
      <w:r>
        <w:t xml:space="preserve">3.1 O ciclo de aprendizado: o caminho de retorno</w:t>
      </w:r>
    </w:p>
    <w:p>
      <w:pPr>
        <w:spacing w:after="160" w:line="300"/>
      </w:pPr>
      <w:r>
        <w:t xml:space="preserve">A Figura 1 descreve corretamente o fluxo do dado, mas é um fluxo de mão única: o dado entra pela ingestão, atravessa as camadas e termina no consumo. Um pipeline assim produz relatórios. O que o projeto se propõe a construir é um sistema que melhora com o uso, e isso exige um caminho de retorno que a Figura 1 não contém.</w:t>
      </w:r>
    </w:p>
    <w:p>
      <w:pPr>
        <w:spacing w:after="160" w:line="300"/>
      </w:pPr>
      <w:r>
        <w:t xml:space="preserve">A Figura 2 fecha esse ciclo. Conversas novas geram rotulagem, que alimenta o retreino, que produz um modelo melhor, que decide o roteamento do próximo atendimento — e esse atendimento vira conversa nova. Cada estágio traz os serviços que o executam e declara sua própria situação: implementado, a construir nesta entrega, ou apenas desenhado.</w:t>
      </w:r>
    </w:p>
    <w:p>
      <w:pPr>
        <w:spacing w:after="80" w:before="160"/>
        <w:jc w:val="center"/>
      </w:pPr>
      <w:r>
        <w:drawing>
          <wp:inline distT="0" distB="0" distL="0" distR="0">
            <wp:extent cx="5760000" cy="3512000"/>
            <wp:effectExtent l="0" t="0" r="0" b="0"/>
            <wp:docPr id="201" name="CicloAprend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iclo_aprendiz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18"/>
          <w:szCs w:val="18"/>
        </w:rPr>
        <w:t xml:space="preserve">Figura 2 — O ciclo de aprendizado, com os serviços de cada estágio. A seta em destaque é o caminho de retorno que distingue um sistema que aprende de um pipeline analítico.</w:t>
      </w:r>
    </w:p>
    <w:p>
      <w:pPr>
        <w:spacing w:after="160" w:line="300"/>
      </w:pPr>
      <w:r>
        <w:t xml:space="preserve">O estágio de rotulagem é o que não constava de nenhum desenho anterior, e é a peça de maior valor para a aplicação em operação real: é ele que transforma a correção do supervisor em exemplo de treino. Sem esse estágio, o modelo é treinado uma vez e degrada em silêncio.</w:t>
      </w:r>
    </w:p>
    <w:p>
      <w:pPr>
        <w:pStyle w:val="Heading2"/>
        <w:spacing w:after="120" w:before="260"/>
      </w:pPr>
      <w:r>
        <w:t xml:space="preserve">3.2 Ferramentas da camada de dados e por que foram escolhidas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800"/>
      </w:tblGrid>
      <w:tr>
        <w:trPr>
          <w:tblHeader/>
        </w:trPr>
        <w:tc>
          <w:tcPr>
            <w:tcW w:type="dxa" w:w="2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 / recurso</w:t>
            </w:r>
          </w:p>
        </w:tc>
        <w:tc>
          <w:tcPr>
            <w:tcW w:type="dxa" w:w="33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na arquitetura</w:t>
            </w:r>
          </w:p>
        </w:tc>
        <w:tc>
          <w:tcPr>
            <w:tcW w:type="dxa" w:w="38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foi escolhida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Storage (bucket RAW)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Armazena o dado exatamente como chega, sem tratamento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Barato para grandes volumes de arquivo bruto; não exige schema na entrada; suporta versionamento e expiração automática</w:t>
            </w:r>
          </w:p>
        </w:tc>
      </w:tr>
      <w:tr>
        <w:tc>
          <w:tcPr>
            <w:tcW w:type="dxa" w:w="2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Functions + Pub/Sub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Ingestão do evento de conversa</w:t>
            </w:r>
          </w:p>
        </w:tc>
        <w:tc>
          <w:tcPr>
            <w:tcW w:type="dxa" w:w="38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Pub/Sub desacopla quem gera o dado de quem consome; permite tanto o trilho batch quanto, futuramente, o trilho streaming a partir do mesmo evento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BigQuery (BRONZE)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Primeira materialização do CSV como tabela, com colunas de rastreabilidade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warehouse serverless: não há servidor para dimensionar e o custo escala com o uso</w:t>
            </w:r>
          </w:p>
        </w:tc>
      </w:tr>
      <w:tr>
        <w:tc>
          <w:tcPr>
            <w:tcW w:type="dxa" w:w="2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BigQuery (SILVER/trusted)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Limpeza, deduplicação e tratamento de PII</w:t>
            </w:r>
          </w:p>
        </w:tc>
        <w:tc>
          <w:tcPr>
            <w:tcW w:type="dxa" w:w="38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Permanece no BigQuery porque a transformação é feita via SQL/Dataflow direto sobre as tabelas, sem mover o dado entre sistemas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BigQuery (GOLD/curated)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agregados, prontos para dashboard e features de NLP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Mesma razão do SILVER — e joins entre datasets só funcionam se estiverem na mesma região, o que reforça manter tudo no BigQuery</w:t>
            </w:r>
          </w:p>
        </w:tc>
      </w:tr>
      <w:tr>
        <w:tc>
          <w:tcPr>
            <w:tcW w:type="dxa" w:w="2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Dataflow (planejado)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de transformação batch e streaming entre as camadas</w:t>
            </w:r>
          </w:p>
        </w:tc>
        <w:tc>
          <w:tcPr>
            <w:tcW w:type="dxa" w:w="38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É o serviço gerenciado do GCP para pipelines Apache Beam, cobrindo tanto o trilho batch quanto o speed com a mesma tecnologia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Looker Studio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Visualização dos KPIs para a diretoria e áreas de negócio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Conecta nativamente ao BigQuery sem custo adicional de licença</w:t>
            </w:r>
          </w:p>
        </w:tc>
      </w:tr>
      <w:tr>
        <w:tc>
          <w:tcPr>
            <w:tcW w:type="dxa" w:w="2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Região us-central1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Localização de todos os recursos</w:t>
            </w:r>
          </w:p>
        </w:tc>
        <w:tc>
          <w:tcPr>
            <w:tcW w:type="dxa" w:w="38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Única região com Always Free no Cloud Storage; e o BigQuery não executa joins entre datasets em regiões diferentes — a consulta falha</w:t>
            </w:r>
          </w:p>
        </w:tc>
      </w:tr>
    </w:tbl>
    <w:p>
      <w:pPr>
        <w:pStyle w:val="Heading1"/>
        <w:spacing w:after="160" w:before="360"/>
      </w:pPr>
      <w:r>
        <w:t xml:space="preserve">4. Infraestrutura como código e pipeline de CI/CD</w:t>
      </w:r>
    </w:p>
    <w:p>
      <w:pPr>
        <w:spacing w:after="160" w:line="300"/>
      </w:pPr>
      <w:r>
        <w:t xml:space="preserve">Esta é a parte do projeto mais madura tecnicamente até o momento: o data lake não foi criado clicando no console do GCP, e sim descrito como código (Terraform), versionado no Git e aplicado por um pipeline automatizado no GitHub Actions.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18"/>
          <w:szCs w:val="18"/>
        </w:rPr>
        <w:t xml:space="preserve">Figura 3 — Fluxo do pipeline de CI/CD: validação automática, plano revisável e aprovação humana antes de qualquer aplicação.</w:t>
      </w:r>
    </w:p>
    <w:p>
      <w:pPr>
        <w:pStyle w:val="Heading2"/>
        <w:spacing w:after="120" w:before="260"/>
      </w:pPr>
      <w:r>
        <w:t xml:space="preserve">4.1 Ferramentas do pipeline e por que foram escolhidas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4000"/>
      </w:tblGrid>
      <w:tr>
        <w:trPr>
          <w:tblHeader/>
        </w:trPr>
        <w:tc>
          <w:tcPr>
            <w:tcW w:type="dxa" w:w="24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3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40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foi escolhida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Terraform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Descreve a infraestrutura como código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Torna a configuração auditável (histórico no Git), reproduzível e revisável antes de tocar em dados reais</w:t>
            </w:r>
          </w:p>
        </w:tc>
      </w:tr>
      <w:tr>
        <w:tc>
          <w:tcPr>
            <w:tcW w:type="dxa" w:w="24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terraform import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Faz o Terraform "adotar" recursos já criados manualmente na Trilha 0</w:t>
            </w:r>
          </w:p>
        </w:tc>
        <w:tc>
          <w:tcPr>
            <w:tcW w:type="dxa" w:w="40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Evita que o Terraform tente recriar (e duplicar) o bucket e os datasets que já têm dados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tflint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Lint de boas práticas específicas do provedor GCP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Pega erro de configuração (tipo de recurso obsoleto, atributo incorreto) antes de chegar ao ambiente real</w:t>
            </w:r>
          </w:p>
        </w:tc>
      </w:tr>
      <w:tr>
        <w:tc>
          <w:tcPr>
            <w:tcW w:type="dxa" w:w="24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checkov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Varredura de segurança (IaC security scanning)</w:t>
            </w:r>
          </w:p>
        </w:tc>
        <w:tc>
          <w:tcPr>
            <w:tcW w:type="dxa" w:w="40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 bucket público, IAM permissivo e outras falhas de segurança já no Pull Request, em modo soft-fail até o time zerar os achados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Orquestra validação, plano e aplicação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Já integrado ao repositório; permite publicar o plano do Terraform como comentário no próprio PR, sem precisar abrir a aba de logs</w:t>
            </w:r>
          </w:p>
        </w:tc>
      </w:tr>
      <w:tr>
        <w:tc>
          <w:tcPr>
            <w:tcW w:type="dxa" w:w="24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Workload Identity Federation (WIF)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 do pipeline no GCP</w:t>
            </w:r>
          </w:p>
        </w:tc>
        <w:tc>
          <w:tcPr>
            <w:tcW w:type="dxa" w:w="40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Elimina a necessidade de uma chave de service account fixa — o vetor de vazamento mais comum em CI/CD — gerando credencial temporária a cada execução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Environments (gcp-dev / production)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 de aprovação manual antes de aplicar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Garante que nenhuma mudança é aplicada de forma irreversível sem uma pessoa revisar e aprovar</w:t>
            </w:r>
          </w:p>
        </w:tc>
      </w:tr>
      <w:tr>
        <w:tc>
          <w:tcPr>
            <w:tcW w:type="dxa" w:w="24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Separação dev / prod</w:t>
            </w:r>
          </w:p>
        </w:tc>
        <w:tc>
          <w:tcPr>
            <w:tcW w:type="dxa" w:w="3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 o ambiente de teste do ambiente real</w:t>
            </w:r>
          </w:p>
        </w:tc>
        <w:tc>
          <w:tcPr>
            <w:tcW w:type="dxa" w:w="40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erro de configuração aparece primeiro no ambiente de teste, sem risco a dados reais de correntistas</w:t>
            </w:r>
          </w:p>
        </w:tc>
      </w:tr>
    </w:tbl>
    <w:p>
      <w:pPr>
        <w:pStyle w:val="Heading1"/>
        <w:spacing w:after="160" w:before="360"/>
      </w:pPr>
      <w:r>
        <w:t xml:space="preserve">5. Governança e segurança</w:t>
      </w:r>
    </w:p>
    <w:p>
      <w:pPr>
        <w:pStyle w:val="Heading2"/>
        <w:spacing w:after="120" w:before="260"/>
      </w:pPr>
      <w:r>
        <w:t xml:space="preserve">5.1 Já implementado no Terraform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Bucket RAW com acesso público bloqueado por padrão (public_access_prevention = enforced);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Uniform bucket-level access, para o controle de permissão ser consistente em todo o bucket;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Versionamento do bucket RAW, para recuperar um arquivo sobrescrito por engano;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Expiração automática dos dados crus após 365 dias (raw_retention_days), limitando por quanto tempo dado sensível fica retido;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force_destroy = false no bucket RAW, exigindo um passo extra para apagar o bucket, evitando exclusão acidental;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Rótulos (labels) de projeto e ambiente em todos os recursos, para rastreabilidade de custo e responsabilidade;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Autenticação do pipeline sem chave fixa (Workload Identity Federation);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Aprovação humana obrigatória antes de aplicar em dev e em produção.</w:t>
      </w:r>
    </w:p>
    <w:p>
      <w:pPr>
        <w:pStyle w:val="Heading2"/>
        <w:spacing w:after="120" w:before="260"/>
      </w:pPr>
      <w:r>
        <w:t xml:space="preserve">5.2 Planejado, ainda não implementado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Mascaramento de PII / integração com Cloud DLP antes de dados reais de cliente entrarem na camada SILVER;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IAM versionado como código, definindo quem lê/escreve em cada camada;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Orquestração automática entre as camadas com Cloud Scheduler + Cloud Run Jobs, decisão já tomada (o Cloud Composer foi descartado por custo, cerca de US$ 525/mês, sem tier gratuito);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Vertex AI. O alvo do modelo foi definido em 28/08: pipeline de dois estágios, com classificador de intenção e escore de risco.</w:t>
      </w:r>
    </w:p>
    <w:p>
      <w:pPr>
        <w:pStyle w:val="Heading1"/>
        <w:spacing w:after="160" w:before="360"/>
      </w:pPr>
      <w:r>
        <w:t xml:space="preserve">6. Pontos de atenção entre os documentos do projeto</w:t>
      </w:r>
    </w:p>
    <w:p>
      <w:pPr>
        <w:spacing w:after="160" w:line="300"/>
      </w:pPr>
      <w:r>
        <w:t xml:space="preserve">Ao cruzar o briefing (markdown e PDF) com o código real do repositório, três divergências merecem uma decisão do time antes da entrega final: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800"/>
      </w:tblGrid>
      <w:tr>
        <w:trPr>
          <w:tblHeader/>
        </w:trPr>
        <w:tc>
          <w:tcPr>
            <w:tcW w:type="dxa" w:w="26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43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o briefing diz</w:t>
            </w:r>
          </w:p>
        </w:tc>
        <w:tc>
          <w:tcPr>
            <w:tcW w:type="dxa" w:w="2800"/>
            <w:shd w:fill="3C348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o código mostra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Mascaramento de PII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"O briefing está correto: o mascaramento é aplicado na transição bronze→silver" (markdown, seção de governança)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README da infra lista o DLP como próximo incremento, mas o mascaramento por SQL já opera. A divergência é de local: o código da pipeline não está versionado no repositório de infraestrutura</w:t>
            </w:r>
          </w:p>
        </w:tc>
      </w:tr>
      <w:tr>
        <w:tc>
          <w:tcPr>
            <w:tcW w:type="dxa" w:w="26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 BRONZE</w:t>
            </w:r>
          </w:p>
        </w:tc>
        <w:tc>
          <w:tcPr>
            <w:tcW w:type="dxa" w:w="43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mencionada — o briefing descreve apenas RAW → TRUSTED → CURATED</w:t>
            </w:r>
          </w:p>
        </w:tc>
        <w:tc>
          <w:tcPr>
            <w:tcW w:type="dxa" w:w="2800"/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como camada intermediária explícita no Terraform (kenzie360_bronze)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Nº de colunas das tabelas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colunas (conversas) / 12 (mensagens)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Resolvido: 30 e 12 são os valores corretos da base v8. Os números 23 e 9 vinham do gerador v5/v6 e foram corrigidos ainda na Sprint 1</w:t>
            </w:r>
          </w:p>
        </w:tc>
      </w:tr>
    </w:tbl>
    <w:p>
      <w:pPr>
        <w:spacing w:after="160" w:line="300"/>
      </w:pPr>
      <w:r>
        <w:t xml:space="preserve">Recomenda-se que a versão final da documentação escolha uma narrativa única sobre PII ("mascaramento planejado para a Sprint 3", por exemplo, em vez de "já implementado") e decida se o BRONZE entra explicitamente no glossário do trabalho.</w:t>
      </w:r>
    </w:p>
    <w:p>
      <w:pPr>
        <w:pStyle w:val="Heading1"/>
        <w:spacing w:after="160" w:before="360"/>
      </w:pPr>
      <w:r>
        <w:t xml:space="preserve">7. Próximos passos (roadmap)</w:t>
      </w:r>
    </w:p>
    <w:p>
      <w:pPr>
        <w:spacing w:after="160" w:line="300"/>
      </w:pPr>
      <w:r>
        <w:t xml:space="preserve">Na mesma estrutura de módulos que infra/modules/data-lake/ já estabeleceu, os próximos incrementos planejados são: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IAM — permissões de leitura/escrita por camada, versionado como código;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Orquestração — mover dados entre RAW, BRONZE, SILVER e GOLD automaticamente, quando os DAGs/jobs forem escritos;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Vertex AI — quando o alvo do modelo de NLP for definido;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DLP / mascaramento de PII — antes de qualquer dado real de cliente circular pela camada SILVER;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Esteira de CI/CD da aplicação do chat — já desenhada em docs/proposta-cicd-aplicacao.yml, aguardando o código da aplicação (app/, Dockerfile, testes) entrar no repositório.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Versionar o código da pipeline de dados (scripts Python e DDLs) em repositório próprio, estendendo a ele o padrão de promoção por Pull Request já em operação na infraestrutura. É a maior lacuna atual e a causa da divergência descrita na nota de revisão</w:t>
      </w:r>
    </w:p>
    <w:p>
      <w:pPr>
        <w:pStyle w:val="Heading1"/>
        <w:spacing w:after="160" w:before="360"/>
      </w:pPr>
      <w:r>
        <w:t xml:space="preserve">8. Fontes deste documento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Rascunho_Arquitetura_Lambda_GCP.md — desenho lógico da Sprint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Arquitetura_Lambda_GCP_-_Projeto_Kenzie_360_FINAL.pdf — briefing acadêmico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Repositório MACK-Hand-on/MACK (infra/, .github/workflows/) — infraestrutura como código e pipeline de CI/CD, estado real em agosto de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Página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780"/>
        <w:sz w:val="16"/>
        <w:szCs w:val="16"/>
      </w:rPr>
      <w:t xml:space="preserve">Kenzie 360 — Arquitetura Lambda na GCP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534AB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3C3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a2bb33eeb1f51272c61358a59e3d7084836b8c.png"/><Relationship Id="rId10" Type="http://schemas.openxmlformats.org/officeDocument/2006/relationships/image" Target="media/f1ca10a0bc57b7d0d10049d1fe83abab8e8845eb.png"/><Relationship Id="rId11" Type="http://schemas.openxmlformats.org/officeDocument/2006/relationships/fontTable" Target="fontTable.xml"/><Relationship Id="rId12" Type="http://schemas.openxmlformats.org/officeDocument/2006/relationships/image" Target="media/ciclo_aprendizad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2026-08-29T18:30:32.363Z</dcterms:created>
  <dcterms:modified xsi:type="dcterms:W3CDTF">2026-08-29T18:30:32.376Z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